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049" w:rsidRDefault="00256049" w:rsidP="00256049">
      <w:pPr>
        <w:spacing w:after="809"/>
        <w:ind w:left="2836"/>
      </w:pPr>
      <w:r>
        <w:rPr>
          <w:rFonts w:ascii="Lucida Grande" w:hAnsi="Lucida Grande"/>
          <w:b/>
          <w:bCs/>
          <w:noProof/>
          <w:color w:val="003C69"/>
          <w:sz w:val="18"/>
          <w:szCs w:val="18"/>
        </w:rPr>
        <w:drawing>
          <wp:inline distT="0" distB="0" distL="0" distR="0">
            <wp:extent cx="2312649" cy="600075"/>
            <wp:effectExtent l="0" t="0" r="0" b="0"/>
            <wp:docPr id="1" name="Obrázek 1" descr="https://www.ostrava.cz/logo.png">
              <a:hlinkClick xmlns:a="http://schemas.openxmlformats.org/drawingml/2006/main" r:id="rId8" tooltip="&quot;Úv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trava.cz/logo.png">
                      <a:hlinkClick r:id="rId8" tooltip="&quot;Úvo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6987" cy="603795"/>
                    </a:xfrm>
                    <a:prstGeom prst="rect">
                      <a:avLst/>
                    </a:prstGeom>
                    <a:noFill/>
                    <a:ln>
                      <a:noFill/>
                    </a:ln>
                  </pic:spPr>
                </pic:pic>
              </a:graphicData>
            </a:graphic>
          </wp:inline>
        </w:drawing>
      </w:r>
    </w:p>
    <w:p w:rsidR="00C26380" w:rsidRDefault="00C26380" w:rsidP="00256049">
      <w:pPr>
        <w:spacing w:after="809"/>
        <w:ind w:left="2836"/>
      </w:pPr>
    </w:p>
    <w:p w:rsidR="00C26380" w:rsidRDefault="00455A63" w:rsidP="00256049">
      <w:pPr>
        <w:spacing w:after="0"/>
        <w:ind w:right="10"/>
        <w:jc w:val="center"/>
      </w:pPr>
      <w:r>
        <w:rPr>
          <w:b/>
          <w:sz w:val="44"/>
        </w:rPr>
        <w:t>Dokumentace zadávacího řízení</w:t>
      </w:r>
    </w:p>
    <w:p w:rsidR="00C26380" w:rsidRDefault="00256049" w:rsidP="00256049">
      <w:pPr>
        <w:spacing w:after="0" w:line="248" w:lineRule="auto"/>
        <w:ind w:right="1658"/>
      </w:pPr>
      <w:r>
        <w:t xml:space="preserve">                            </w:t>
      </w:r>
      <w:r w:rsidR="00455A63">
        <w:t>pro nadlimitní veřejnou zakázku na služ</w:t>
      </w:r>
      <w:r>
        <w:t>by zadávanou v užším řízení</w:t>
      </w:r>
    </w:p>
    <w:p w:rsidR="00256049" w:rsidRDefault="007422C5" w:rsidP="007422C5">
      <w:pPr>
        <w:spacing w:after="592" w:line="248" w:lineRule="auto"/>
        <w:ind w:right="1154"/>
      </w:pPr>
      <w:r>
        <w:t xml:space="preserve">                              </w:t>
      </w:r>
      <w:r w:rsidR="00256049">
        <w:t>podle § 58</w:t>
      </w:r>
      <w:r w:rsidR="00455A63">
        <w:t xml:space="preserve"> zákona č. 134/2016 Sb., o zadávání veřejných zakázek</w:t>
      </w:r>
    </w:p>
    <w:p w:rsidR="00C26380" w:rsidRDefault="00455A63" w:rsidP="00256049">
      <w:pPr>
        <w:spacing w:after="592" w:line="248" w:lineRule="auto"/>
        <w:ind w:left="3728" w:right="1154" w:hanging="2079"/>
        <w:jc w:val="center"/>
      </w:pPr>
      <w:r>
        <w:t xml:space="preserve"> (dále jen „</w:t>
      </w:r>
      <w:r>
        <w:rPr>
          <w:b/>
          <w:i/>
        </w:rPr>
        <w:t>zákon</w:t>
      </w:r>
      <w:r>
        <w:t>“)</w:t>
      </w:r>
    </w:p>
    <w:p w:rsidR="00C26380" w:rsidRDefault="00455A63" w:rsidP="00256049">
      <w:pPr>
        <w:spacing w:after="385" w:line="265" w:lineRule="auto"/>
        <w:ind w:left="10" w:right="3" w:hanging="10"/>
        <w:jc w:val="center"/>
      </w:pPr>
      <w:r>
        <w:t>Název veřejné zakázky:</w:t>
      </w:r>
    </w:p>
    <w:p w:rsidR="001837C6" w:rsidRPr="001837C6" w:rsidRDefault="001837C6" w:rsidP="001837C6">
      <w:pPr>
        <w:jc w:val="center"/>
        <w:rPr>
          <w:rFonts w:eastAsiaTheme="minorHAnsi" w:cs="Times New Roman"/>
          <w:b/>
          <w:bCs/>
          <w:color w:val="auto"/>
          <w:sz w:val="32"/>
          <w:szCs w:val="32"/>
        </w:rPr>
      </w:pPr>
      <w:r w:rsidRPr="001837C6">
        <w:rPr>
          <w:rFonts w:cs="Times New Roman"/>
          <w:b/>
          <w:bCs/>
          <w:sz w:val="32"/>
          <w:szCs w:val="32"/>
        </w:rPr>
        <w:t>Veřejná zakázka na poskytování pojistných služeb</w:t>
      </w:r>
    </w:p>
    <w:p w:rsidR="001837C6" w:rsidRDefault="001837C6" w:rsidP="00256049">
      <w:pPr>
        <w:spacing w:after="385" w:line="265" w:lineRule="auto"/>
        <w:ind w:left="10" w:right="3" w:hanging="10"/>
        <w:jc w:val="center"/>
      </w:pPr>
    </w:p>
    <w:p w:rsidR="00C26380" w:rsidRDefault="00374EC7" w:rsidP="00E242AA">
      <w:pPr>
        <w:spacing w:after="578"/>
        <w:ind w:right="1"/>
        <w:jc w:val="center"/>
      </w:pPr>
      <w:r>
        <w:t xml:space="preserve"> </w:t>
      </w:r>
      <w:r w:rsidR="00455A63">
        <w:t>(dále jen „</w:t>
      </w:r>
      <w:r w:rsidR="00455A63">
        <w:rPr>
          <w:b/>
          <w:i/>
        </w:rPr>
        <w:t>veřejná zakázka</w:t>
      </w:r>
      <w:r w:rsidR="00455A63">
        <w:t>“)</w:t>
      </w:r>
    </w:p>
    <w:p w:rsidR="00C26380" w:rsidRDefault="00C26380" w:rsidP="00256049">
      <w:pPr>
        <w:spacing w:after="573" w:line="265" w:lineRule="auto"/>
        <w:ind w:left="10" w:right="5" w:hanging="10"/>
        <w:jc w:val="center"/>
      </w:pPr>
    </w:p>
    <w:p w:rsidR="00C26380" w:rsidRDefault="00455A63">
      <w:pPr>
        <w:spacing w:after="212" w:line="265" w:lineRule="auto"/>
        <w:ind w:left="10" w:right="3" w:hanging="10"/>
        <w:jc w:val="center"/>
      </w:pPr>
      <w:r>
        <w:t xml:space="preserve">Zadavatel: </w:t>
      </w:r>
    </w:p>
    <w:p w:rsidR="00C26380" w:rsidRPr="00C40073" w:rsidRDefault="00256049">
      <w:pPr>
        <w:spacing w:after="0" w:line="265" w:lineRule="auto"/>
        <w:ind w:left="10" w:right="5" w:hanging="10"/>
        <w:jc w:val="center"/>
        <w:rPr>
          <w:sz w:val="28"/>
          <w:szCs w:val="28"/>
        </w:rPr>
      </w:pPr>
      <w:r w:rsidRPr="00C40073">
        <w:rPr>
          <w:b/>
          <w:sz w:val="28"/>
          <w:szCs w:val="28"/>
        </w:rPr>
        <w:t>Statutární město Ostrava</w:t>
      </w:r>
    </w:p>
    <w:p w:rsidR="00C26380" w:rsidRPr="00F6034B" w:rsidRDefault="00455A63">
      <w:pPr>
        <w:spacing w:after="3" w:line="265" w:lineRule="auto"/>
        <w:ind w:left="10" w:right="3" w:hanging="10"/>
        <w:jc w:val="center"/>
        <w:rPr>
          <w:sz w:val="24"/>
          <w:szCs w:val="24"/>
        </w:rPr>
      </w:pPr>
      <w:r w:rsidRPr="00F6034B">
        <w:rPr>
          <w:sz w:val="24"/>
          <w:szCs w:val="24"/>
        </w:rPr>
        <w:t xml:space="preserve">IČO: </w:t>
      </w:r>
      <w:r w:rsidR="00544B43" w:rsidRPr="00F6034B">
        <w:rPr>
          <w:sz w:val="24"/>
          <w:szCs w:val="24"/>
        </w:rPr>
        <w:t>00845451</w:t>
      </w:r>
      <w:r w:rsidRPr="00F6034B">
        <w:rPr>
          <w:sz w:val="24"/>
          <w:szCs w:val="24"/>
        </w:rPr>
        <w:t xml:space="preserve"> </w:t>
      </w:r>
    </w:p>
    <w:p w:rsidR="00256049" w:rsidRDefault="00256049" w:rsidP="00256049">
      <w:pPr>
        <w:spacing w:after="1172" w:line="265" w:lineRule="auto"/>
        <w:ind w:left="10" w:right="4" w:hanging="10"/>
        <w:jc w:val="center"/>
        <w:rPr>
          <w:sz w:val="24"/>
          <w:szCs w:val="24"/>
        </w:rPr>
      </w:pPr>
      <w:r w:rsidRPr="00F6034B">
        <w:rPr>
          <w:sz w:val="24"/>
          <w:szCs w:val="24"/>
        </w:rPr>
        <w:t>se sídlem: Ostrava</w:t>
      </w:r>
      <w:r w:rsidR="00455A63" w:rsidRPr="00F6034B">
        <w:rPr>
          <w:sz w:val="24"/>
          <w:szCs w:val="24"/>
        </w:rPr>
        <w:t xml:space="preserve">, </w:t>
      </w:r>
      <w:r w:rsidR="00420452">
        <w:rPr>
          <w:sz w:val="24"/>
          <w:szCs w:val="24"/>
        </w:rPr>
        <w:t xml:space="preserve">Prokešovo náměstí </w:t>
      </w:r>
      <w:r w:rsidRPr="00F6034B">
        <w:rPr>
          <w:sz w:val="24"/>
          <w:szCs w:val="24"/>
        </w:rPr>
        <w:t>8, PSČ 729 30</w:t>
      </w:r>
      <w:r w:rsidR="00455A63" w:rsidRPr="00F6034B">
        <w:rPr>
          <w:sz w:val="24"/>
          <w:szCs w:val="24"/>
        </w:rPr>
        <w:t xml:space="preserve"> </w:t>
      </w:r>
    </w:p>
    <w:p w:rsidR="00710227" w:rsidRPr="00F6034B" w:rsidRDefault="00710227" w:rsidP="00256049">
      <w:pPr>
        <w:spacing w:after="1172" w:line="265" w:lineRule="auto"/>
        <w:ind w:left="10" w:right="4" w:hanging="10"/>
        <w:jc w:val="center"/>
        <w:rPr>
          <w:sz w:val="24"/>
          <w:szCs w:val="24"/>
        </w:rPr>
      </w:pPr>
    </w:p>
    <w:p w:rsidR="00C26380" w:rsidRDefault="00455A63">
      <w:pPr>
        <w:spacing w:after="3" w:line="265" w:lineRule="auto"/>
        <w:ind w:left="10" w:right="5" w:hanging="10"/>
        <w:jc w:val="center"/>
      </w:pPr>
      <w:r>
        <w:t xml:space="preserve">Práva a povinnosti v dokumentaci zadávacího řízení neuvedené se řídí zákonem. </w:t>
      </w:r>
    </w:p>
    <w:p w:rsidR="00256049" w:rsidRDefault="00256049">
      <w:pPr>
        <w:spacing w:after="0"/>
        <w:ind w:right="2"/>
        <w:jc w:val="center"/>
        <w:rPr>
          <w:b/>
          <w:sz w:val="28"/>
        </w:rPr>
      </w:pPr>
    </w:p>
    <w:p w:rsidR="00256049" w:rsidRDefault="00256049">
      <w:pPr>
        <w:spacing w:after="0"/>
        <w:ind w:right="2"/>
        <w:jc w:val="center"/>
        <w:rPr>
          <w:b/>
          <w:sz w:val="28"/>
        </w:rPr>
      </w:pPr>
    </w:p>
    <w:p w:rsidR="00256049" w:rsidRDefault="00256049">
      <w:pPr>
        <w:spacing w:after="0"/>
        <w:ind w:right="2"/>
        <w:jc w:val="center"/>
        <w:rPr>
          <w:b/>
          <w:sz w:val="28"/>
        </w:rPr>
      </w:pPr>
    </w:p>
    <w:p w:rsidR="00256049" w:rsidRDefault="00256049">
      <w:pPr>
        <w:spacing w:after="0"/>
        <w:ind w:right="2"/>
        <w:jc w:val="center"/>
        <w:rPr>
          <w:b/>
          <w:sz w:val="28"/>
        </w:rPr>
      </w:pPr>
    </w:p>
    <w:p w:rsidR="00F6034B" w:rsidRDefault="00F6034B" w:rsidP="00E260FA">
      <w:pPr>
        <w:spacing w:after="0"/>
        <w:ind w:right="2"/>
        <w:rPr>
          <w:b/>
          <w:sz w:val="28"/>
        </w:rPr>
      </w:pPr>
    </w:p>
    <w:p w:rsidR="00256049" w:rsidRDefault="00256049">
      <w:pPr>
        <w:spacing w:after="0"/>
        <w:ind w:right="2"/>
        <w:jc w:val="center"/>
        <w:rPr>
          <w:b/>
          <w:sz w:val="28"/>
        </w:rPr>
      </w:pPr>
    </w:p>
    <w:p w:rsidR="00C26380" w:rsidRDefault="00455A63">
      <w:pPr>
        <w:spacing w:after="0"/>
        <w:ind w:right="2"/>
        <w:jc w:val="center"/>
      </w:pPr>
      <w:r>
        <w:rPr>
          <w:b/>
          <w:sz w:val="28"/>
        </w:rPr>
        <w:t xml:space="preserve">Obsah: </w:t>
      </w:r>
    </w:p>
    <w:p w:rsidR="00C26380" w:rsidRDefault="00455A63">
      <w:pPr>
        <w:spacing w:after="0"/>
      </w:pPr>
      <w:r>
        <w:rPr>
          <w:rFonts w:ascii="Times New Roman" w:eastAsia="Times New Roman" w:hAnsi="Times New Roman" w:cs="Times New Roman"/>
          <w:sz w:val="24"/>
        </w:rPr>
        <w:t xml:space="preserve"> </w:t>
      </w:r>
    </w:p>
    <w:p w:rsidR="00C26380" w:rsidRDefault="00455A63" w:rsidP="00AE5EEC">
      <w:pPr>
        <w:numPr>
          <w:ilvl w:val="0"/>
          <w:numId w:val="1"/>
        </w:numPr>
        <w:spacing w:after="235" w:line="248" w:lineRule="auto"/>
        <w:ind w:hanging="708"/>
        <w:jc w:val="both"/>
      </w:pPr>
      <w:r>
        <w:t>Identifikační údaje zadavatele ...................................................................</w:t>
      </w:r>
      <w:r w:rsidR="00256049">
        <w:t>...............................</w:t>
      </w:r>
      <w:r>
        <w:t xml:space="preserve"> 3 </w:t>
      </w:r>
    </w:p>
    <w:p w:rsidR="00C26380" w:rsidRDefault="00455A63" w:rsidP="00AE5EEC">
      <w:pPr>
        <w:numPr>
          <w:ilvl w:val="0"/>
          <w:numId w:val="1"/>
        </w:numPr>
        <w:spacing w:after="235" w:line="248" w:lineRule="auto"/>
        <w:ind w:hanging="708"/>
        <w:jc w:val="both"/>
      </w:pPr>
      <w:r>
        <w:t>Předmět veřejné zakázky ..........................................................................</w:t>
      </w:r>
      <w:r w:rsidR="00256049">
        <w:t>...............................</w:t>
      </w:r>
      <w:r w:rsidR="00AE5EEC">
        <w:t>. 3</w:t>
      </w:r>
      <w:r>
        <w:t xml:space="preserve"> </w:t>
      </w:r>
    </w:p>
    <w:p w:rsidR="00C26380" w:rsidRDefault="00455A63" w:rsidP="00AE5EEC">
      <w:pPr>
        <w:numPr>
          <w:ilvl w:val="0"/>
          <w:numId w:val="1"/>
        </w:numPr>
        <w:spacing w:after="237" w:line="248" w:lineRule="auto"/>
        <w:ind w:hanging="708"/>
        <w:jc w:val="both"/>
      </w:pPr>
      <w:r>
        <w:t>Doba a místo plnění veřejné zakázky ..........................................................</w:t>
      </w:r>
      <w:r w:rsidR="00AE5EEC">
        <w:t>.............................. 5</w:t>
      </w:r>
      <w:r>
        <w:t xml:space="preserve"> </w:t>
      </w:r>
    </w:p>
    <w:p w:rsidR="00C26380" w:rsidRDefault="00455A63" w:rsidP="00AE5EEC">
      <w:pPr>
        <w:numPr>
          <w:ilvl w:val="0"/>
          <w:numId w:val="1"/>
        </w:numPr>
        <w:spacing w:after="235" w:line="248" w:lineRule="auto"/>
        <w:ind w:hanging="708"/>
        <w:jc w:val="both"/>
      </w:pPr>
      <w:r>
        <w:t>Požadavky na prokázání kvalifikace ...........................................................</w:t>
      </w:r>
      <w:r w:rsidR="00256049">
        <w:t>...............................</w:t>
      </w:r>
      <w:r w:rsidR="00AE5EEC">
        <w:t xml:space="preserve"> 5</w:t>
      </w:r>
    </w:p>
    <w:p w:rsidR="00C26380" w:rsidRDefault="00455A63" w:rsidP="00AE5EEC">
      <w:pPr>
        <w:numPr>
          <w:ilvl w:val="0"/>
          <w:numId w:val="1"/>
        </w:numPr>
        <w:spacing w:after="237" w:line="248" w:lineRule="auto"/>
        <w:ind w:hanging="708"/>
        <w:jc w:val="both"/>
      </w:pPr>
      <w:r>
        <w:t xml:space="preserve">Obchodní a platební podmínky ................................................................................................. 6 </w:t>
      </w:r>
    </w:p>
    <w:p w:rsidR="00C26380" w:rsidRDefault="00455A63" w:rsidP="00AE5EEC">
      <w:pPr>
        <w:numPr>
          <w:ilvl w:val="0"/>
          <w:numId w:val="1"/>
        </w:numPr>
        <w:spacing w:after="236" w:line="248" w:lineRule="auto"/>
        <w:ind w:hanging="708"/>
        <w:jc w:val="both"/>
      </w:pPr>
      <w:r>
        <w:t>Požadavky na způsob zpracování ceny plnění ..............................................................</w:t>
      </w:r>
      <w:r w:rsidR="00AE5EEC">
        <w:t>.</w:t>
      </w:r>
      <w:r w:rsidR="005B0EAE">
        <w:t>............ 9</w:t>
      </w:r>
      <w:r>
        <w:t xml:space="preserve"> </w:t>
      </w:r>
    </w:p>
    <w:p w:rsidR="00C26380" w:rsidRDefault="005B0EAE" w:rsidP="00AE5EEC">
      <w:pPr>
        <w:numPr>
          <w:ilvl w:val="0"/>
          <w:numId w:val="1"/>
        </w:numPr>
        <w:spacing w:after="237" w:line="248" w:lineRule="auto"/>
        <w:ind w:hanging="708"/>
        <w:jc w:val="both"/>
      </w:pPr>
      <w:r>
        <w:t xml:space="preserve">Hodnocení </w:t>
      </w:r>
      <w:r w:rsidR="00256049">
        <w:t>nabídek</w:t>
      </w:r>
      <w:r w:rsidR="00455A63">
        <w:t>....................................................................................</w:t>
      </w:r>
      <w:r w:rsidR="00AE5EEC">
        <w:t>..............................</w:t>
      </w:r>
      <w:r>
        <w:t>.10</w:t>
      </w:r>
      <w:r w:rsidR="00455A63">
        <w:t xml:space="preserve"> </w:t>
      </w:r>
    </w:p>
    <w:p w:rsidR="00C26380" w:rsidRDefault="00455A63" w:rsidP="00AE5EEC">
      <w:pPr>
        <w:numPr>
          <w:ilvl w:val="0"/>
          <w:numId w:val="1"/>
        </w:numPr>
        <w:spacing w:after="235" w:line="248" w:lineRule="auto"/>
        <w:ind w:hanging="708"/>
        <w:jc w:val="both"/>
      </w:pPr>
      <w:r>
        <w:t xml:space="preserve">Závaznost požadavků zadavatele ............................................................................................ 12 </w:t>
      </w:r>
    </w:p>
    <w:p w:rsidR="00C26380" w:rsidRDefault="00256049" w:rsidP="00AE5EEC">
      <w:pPr>
        <w:numPr>
          <w:ilvl w:val="0"/>
          <w:numId w:val="1"/>
        </w:numPr>
        <w:spacing w:after="237" w:line="248" w:lineRule="auto"/>
        <w:ind w:hanging="708"/>
        <w:jc w:val="both"/>
      </w:pPr>
      <w:r>
        <w:t xml:space="preserve">Prohlídka místa </w:t>
      </w:r>
      <w:r w:rsidR="00455A63">
        <w:t>plnění ...........................................................................................................</w:t>
      </w:r>
      <w:r>
        <w:t>..</w:t>
      </w:r>
      <w:r w:rsidR="00455A63">
        <w:t xml:space="preserve"> 12 </w:t>
      </w:r>
    </w:p>
    <w:p w:rsidR="00C26380" w:rsidRDefault="00455A63" w:rsidP="00AE5EEC">
      <w:pPr>
        <w:numPr>
          <w:ilvl w:val="0"/>
          <w:numId w:val="1"/>
        </w:numPr>
        <w:spacing w:after="235" w:line="248" w:lineRule="auto"/>
        <w:ind w:hanging="708"/>
        <w:jc w:val="both"/>
      </w:pPr>
      <w:r>
        <w:t>Vysvětlení zadávací dokumentace..............................................................</w:t>
      </w:r>
      <w:r w:rsidR="00AE5EEC">
        <w:t>............................. 12</w:t>
      </w:r>
      <w:r>
        <w:t xml:space="preserve"> </w:t>
      </w:r>
    </w:p>
    <w:p w:rsidR="00C26380" w:rsidRDefault="00455A63" w:rsidP="00AE5EEC">
      <w:pPr>
        <w:numPr>
          <w:ilvl w:val="0"/>
          <w:numId w:val="1"/>
        </w:numPr>
        <w:spacing w:after="237" w:line="248" w:lineRule="auto"/>
        <w:ind w:hanging="708"/>
        <w:jc w:val="both"/>
      </w:pPr>
      <w:r>
        <w:t>Změna nebo doplnění zadávací dokumentace ...........................................</w:t>
      </w:r>
      <w:r w:rsidR="005B0EAE">
        <w:t>............................. 1</w:t>
      </w:r>
      <w:r w:rsidR="00C8178F">
        <w:t>3</w:t>
      </w:r>
      <w:r>
        <w:t xml:space="preserve"> </w:t>
      </w:r>
    </w:p>
    <w:p w:rsidR="00C26380" w:rsidRDefault="005544F4" w:rsidP="005544F4">
      <w:pPr>
        <w:numPr>
          <w:ilvl w:val="0"/>
          <w:numId w:val="1"/>
        </w:numPr>
        <w:spacing w:after="235" w:line="248" w:lineRule="auto"/>
        <w:ind w:hanging="708"/>
      </w:pPr>
      <w:r>
        <w:t>Lhůta a místo pro podání žádostí o účast (nabídek)</w:t>
      </w:r>
      <w:r w:rsidR="00455A63">
        <w:t>.................................</w:t>
      </w:r>
      <w:r>
        <w:t>................................</w:t>
      </w:r>
      <w:r w:rsidR="00AE5EEC">
        <w:t>13</w:t>
      </w:r>
      <w:r w:rsidR="00455A63">
        <w:t xml:space="preserve"> </w:t>
      </w:r>
    </w:p>
    <w:p w:rsidR="00C26380" w:rsidRDefault="00455A63" w:rsidP="00AE5EEC">
      <w:pPr>
        <w:numPr>
          <w:ilvl w:val="0"/>
          <w:numId w:val="1"/>
        </w:numPr>
        <w:spacing w:after="235" w:line="248" w:lineRule="auto"/>
        <w:ind w:hanging="708"/>
        <w:jc w:val="both"/>
      </w:pPr>
      <w:r>
        <w:t>Zadávací lhůta ..........................................................................................</w:t>
      </w:r>
      <w:r w:rsidR="00256049">
        <w:t>...............................</w:t>
      </w:r>
      <w:r w:rsidR="00AE5EEC">
        <w:t xml:space="preserve"> 1</w:t>
      </w:r>
      <w:r w:rsidR="005544F4">
        <w:t>4</w:t>
      </w:r>
      <w:r>
        <w:t xml:space="preserve"> </w:t>
      </w:r>
    </w:p>
    <w:p w:rsidR="00C26380" w:rsidRDefault="00256049" w:rsidP="00AE5EEC">
      <w:pPr>
        <w:numPr>
          <w:ilvl w:val="0"/>
          <w:numId w:val="1"/>
        </w:numPr>
        <w:spacing w:after="237" w:line="248" w:lineRule="auto"/>
        <w:ind w:hanging="708"/>
        <w:jc w:val="both"/>
      </w:pPr>
      <w:r>
        <w:t>Jistota</w:t>
      </w:r>
      <w:r w:rsidR="00455A63">
        <w:t>.........................................................................................................</w:t>
      </w:r>
      <w:r>
        <w:t>...............................</w:t>
      </w:r>
      <w:r w:rsidR="005B0EAE">
        <w:t>1</w:t>
      </w:r>
      <w:r w:rsidR="005544F4">
        <w:t>4</w:t>
      </w:r>
      <w:r w:rsidR="00455A63">
        <w:t xml:space="preserve"> </w:t>
      </w:r>
    </w:p>
    <w:p w:rsidR="00C26380" w:rsidRDefault="00455A63" w:rsidP="00AE5EEC">
      <w:pPr>
        <w:numPr>
          <w:ilvl w:val="0"/>
          <w:numId w:val="1"/>
        </w:numPr>
        <w:spacing w:after="235" w:line="248" w:lineRule="auto"/>
        <w:ind w:hanging="708"/>
        <w:jc w:val="both"/>
      </w:pPr>
      <w:r>
        <w:t>Změny kvalifikace účastníka zadávacího řízení ..........................................</w:t>
      </w:r>
      <w:r w:rsidR="005B0EAE">
        <w:t>............................. 1</w:t>
      </w:r>
      <w:r w:rsidR="00C8178F">
        <w:t>5</w:t>
      </w:r>
      <w:r>
        <w:t xml:space="preserve"> </w:t>
      </w:r>
    </w:p>
    <w:p w:rsidR="00C26380" w:rsidRDefault="00455A63" w:rsidP="00AE5EEC">
      <w:pPr>
        <w:numPr>
          <w:ilvl w:val="0"/>
          <w:numId w:val="1"/>
        </w:numPr>
        <w:spacing w:after="237" w:line="248" w:lineRule="auto"/>
        <w:ind w:hanging="708"/>
        <w:jc w:val="both"/>
      </w:pPr>
      <w:r>
        <w:t xml:space="preserve">Podmínky a požadavky na zpracování a podání </w:t>
      </w:r>
      <w:r w:rsidR="005544F4">
        <w:t>žádosti o účast (</w:t>
      </w:r>
      <w:r>
        <w:t>nabídky</w:t>
      </w:r>
      <w:r w:rsidR="005544F4">
        <w:t>)</w:t>
      </w:r>
      <w:r>
        <w:t>...........................</w:t>
      </w:r>
      <w:r w:rsidR="005544F4">
        <w:t>...</w:t>
      </w:r>
      <w:r w:rsidR="005B0EAE">
        <w:t xml:space="preserve"> 1</w:t>
      </w:r>
      <w:r w:rsidR="00C8178F">
        <w:t>5</w:t>
      </w:r>
      <w:r>
        <w:t xml:space="preserve"> </w:t>
      </w:r>
    </w:p>
    <w:p w:rsidR="00C26380" w:rsidRDefault="00455A63" w:rsidP="00AE5EEC">
      <w:pPr>
        <w:numPr>
          <w:ilvl w:val="0"/>
          <w:numId w:val="1"/>
        </w:numPr>
        <w:spacing w:after="235" w:line="248" w:lineRule="auto"/>
        <w:ind w:hanging="708"/>
        <w:jc w:val="both"/>
      </w:pPr>
      <w:r>
        <w:t>Další podmínky a práva zadavatele ............................................................</w:t>
      </w:r>
      <w:r w:rsidR="005B0EAE">
        <w:t>............................. 1</w:t>
      </w:r>
      <w:r w:rsidR="005544F4">
        <w:t>6</w:t>
      </w:r>
      <w:r>
        <w:t xml:space="preserve"> </w:t>
      </w:r>
    </w:p>
    <w:p w:rsidR="00256049" w:rsidRDefault="00256049" w:rsidP="00AE5EEC">
      <w:pPr>
        <w:numPr>
          <w:ilvl w:val="0"/>
          <w:numId w:val="1"/>
        </w:numPr>
        <w:spacing w:after="48" w:line="248" w:lineRule="auto"/>
        <w:ind w:hanging="708"/>
        <w:jc w:val="both"/>
      </w:pPr>
      <w:r>
        <w:t>Seznam příloh</w:t>
      </w:r>
      <w:r w:rsidR="00455A63">
        <w:t>.................................................................................................</w:t>
      </w:r>
      <w:r w:rsidR="005B0EAE">
        <w:t>......................... 1</w:t>
      </w:r>
      <w:r w:rsidR="005544F4">
        <w:t>7</w:t>
      </w:r>
    </w:p>
    <w:p w:rsidR="00256049" w:rsidRDefault="00256049" w:rsidP="00256049">
      <w:pPr>
        <w:spacing w:after="48" w:line="248" w:lineRule="auto"/>
        <w:jc w:val="both"/>
      </w:pPr>
    </w:p>
    <w:p w:rsidR="00256049" w:rsidRDefault="00256049" w:rsidP="00256049">
      <w:pPr>
        <w:spacing w:after="48" w:line="248" w:lineRule="auto"/>
        <w:jc w:val="both"/>
      </w:pPr>
    </w:p>
    <w:p w:rsidR="00256049" w:rsidRDefault="00256049" w:rsidP="00256049">
      <w:pPr>
        <w:spacing w:after="48" w:line="248" w:lineRule="auto"/>
        <w:jc w:val="both"/>
      </w:pPr>
    </w:p>
    <w:p w:rsidR="00256049" w:rsidRDefault="00256049" w:rsidP="00256049">
      <w:pPr>
        <w:spacing w:after="48" w:line="248" w:lineRule="auto"/>
        <w:jc w:val="both"/>
      </w:pPr>
    </w:p>
    <w:p w:rsidR="00256049" w:rsidRDefault="00256049" w:rsidP="00256049">
      <w:pPr>
        <w:spacing w:after="48" w:line="248" w:lineRule="auto"/>
        <w:jc w:val="both"/>
      </w:pPr>
    </w:p>
    <w:p w:rsidR="00256049" w:rsidRDefault="00256049" w:rsidP="00256049">
      <w:pPr>
        <w:spacing w:after="48" w:line="248" w:lineRule="auto"/>
        <w:jc w:val="both"/>
      </w:pPr>
    </w:p>
    <w:p w:rsidR="001210D8" w:rsidRDefault="001210D8" w:rsidP="00256049">
      <w:pPr>
        <w:spacing w:after="48" w:line="248" w:lineRule="auto"/>
        <w:jc w:val="both"/>
      </w:pPr>
    </w:p>
    <w:p w:rsidR="00FD75E2" w:rsidRDefault="00FD75E2" w:rsidP="00256049">
      <w:pPr>
        <w:spacing w:after="48" w:line="248" w:lineRule="auto"/>
        <w:jc w:val="both"/>
      </w:pPr>
    </w:p>
    <w:p w:rsidR="00FD75E2" w:rsidRDefault="00FD75E2" w:rsidP="00256049">
      <w:pPr>
        <w:spacing w:after="48" w:line="248" w:lineRule="auto"/>
        <w:jc w:val="both"/>
      </w:pPr>
    </w:p>
    <w:p w:rsidR="00D43A0F" w:rsidRDefault="00D43A0F" w:rsidP="00256049">
      <w:pPr>
        <w:spacing w:after="48" w:line="248" w:lineRule="auto"/>
        <w:jc w:val="both"/>
      </w:pPr>
    </w:p>
    <w:p w:rsidR="00C26380" w:rsidRDefault="00C26380" w:rsidP="008B7719">
      <w:pPr>
        <w:spacing w:after="48" w:line="248" w:lineRule="auto"/>
        <w:jc w:val="both"/>
      </w:pPr>
    </w:p>
    <w:tbl>
      <w:tblPr>
        <w:tblStyle w:val="TableGrid"/>
        <w:tblW w:w="9300" w:type="dxa"/>
        <w:tblInd w:w="-113" w:type="dxa"/>
        <w:tblCellMar>
          <w:top w:w="71" w:type="dxa"/>
          <w:right w:w="115" w:type="dxa"/>
        </w:tblCellMar>
        <w:tblLook w:val="04A0" w:firstRow="1" w:lastRow="0" w:firstColumn="1" w:lastColumn="0" w:noHBand="0" w:noVBand="1"/>
      </w:tblPr>
      <w:tblGrid>
        <w:gridCol w:w="821"/>
        <w:gridCol w:w="8479"/>
      </w:tblGrid>
      <w:tr w:rsidR="00C26380">
        <w:trPr>
          <w:trHeight w:val="394"/>
        </w:trPr>
        <w:tc>
          <w:tcPr>
            <w:tcW w:w="821" w:type="dxa"/>
            <w:tcBorders>
              <w:top w:val="single" w:sz="4" w:space="0" w:color="000000"/>
              <w:left w:val="single" w:sz="4" w:space="0" w:color="000000"/>
              <w:bottom w:val="single" w:sz="4" w:space="0" w:color="000000"/>
              <w:right w:val="nil"/>
            </w:tcBorders>
          </w:tcPr>
          <w:p w:rsidR="00C26380" w:rsidRDefault="00455A63">
            <w:pPr>
              <w:ind w:left="113"/>
            </w:pPr>
            <w:r>
              <w:rPr>
                <w:b/>
                <w:sz w:val="28"/>
              </w:rPr>
              <w:lastRenderedPageBreak/>
              <w:t>1.</w:t>
            </w:r>
            <w:r>
              <w:rPr>
                <w:rFonts w:ascii="Arial" w:eastAsia="Arial" w:hAnsi="Arial" w:cs="Arial"/>
                <w:b/>
                <w:sz w:val="28"/>
              </w:rPr>
              <w:t xml:space="preserve"> </w:t>
            </w:r>
          </w:p>
        </w:tc>
        <w:tc>
          <w:tcPr>
            <w:tcW w:w="8478" w:type="dxa"/>
            <w:tcBorders>
              <w:top w:val="single" w:sz="4" w:space="0" w:color="000000"/>
              <w:left w:val="nil"/>
              <w:bottom w:val="single" w:sz="4" w:space="0" w:color="000000"/>
              <w:right w:val="single" w:sz="4" w:space="0" w:color="000000"/>
            </w:tcBorders>
          </w:tcPr>
          <w:p w:rsidR="00C26380" w:rsidRDefault="00455A63">
            <w:r>
              <w:rPr>
                <w:b/>
                <w:sz w:val="28"/>
              </w:rPr>
              <w:t xml:space="preserve">Identifikační údaje zadavatele </w:t>
            </w:r>
          </w:p>
        </w:tc>
      </w:tr>
    </w:tbl>
    <w:p w:rsidR="00256049" w:rsidRDefault="00256049">
      <w:pPr>
        <w:tabs>
          <w:tab w:val="center" w:pos="2124"/>
          <w:tab w:val="center" w:pos="2833"/>
          <w:tab w:val="center" w:pos="3541"/>
          <w:tab w:val="center" w:pos="4968"/>
        </w:tabs>
        <w:spacing w:after="10" w:line="248" w:lineRule="auto"/>
        <w:ind w:left="-15"/>
      </w:pPr>
    </w:p>
    <w:p w:rsidR="00C26380" w:rsidRDefault="00455A63">
      <w:pPr>
        <w:tabs>
          <w:tab w:val="center" w:pos="2124"/>
          <w:tab w:val="center" w:pos="2833"/>
          <w:tab w:val="center" w:pos="3541"/>
          <w:tab w:val="center" w:pos="4968"/>
        </w:tabs>
        <w:spacing w:after="10" w:line="248" w:lineRule="auto"/>
        <w:ind w:left="-15"/>
      </w:pPr>
      <w:r>
        <w:t xml:space="preserve">Název zadavatele: </w:t>
      </w:r>
      <w:r>
        <w:tab/>
        <w:t xml:space="preserve"> </w:t>
      </w:r>
      <w:r>
        <w:tab/>
        <w:t xml:space="preserve"> </w:t>
      </w:r>
      <w:r>
        <w:tab/>
        <w:t xml:space="preserve"> </w:t>
      </w:r>
      <w:r>
        <w:tab/>
      </w:r>
      <w:r w:rsidR="00FC6836">
        <w:t xml:space="preserve">             </w:t>
      </w:r>
      <w:r w:rsidR="00FC6836">
        <w:rPr>
          <w:b/>
        </w:rPr>
        <w:t>Statutární město Ostrava</w:t>
      </w:r>
      <w:r>
        <w:t xml:space="preserve"> </w:t>
      </w:r>
    </w:p>
    <w:p w:rsidR="00C26380" w:rsidRDefault="00455A63">
      <w:pPr>
        <w:tabs>
          <w:tab w:val="center" w:pos="708"/>
          <w:tab w:val="center" w:pos="1416"/>
          <w:tab w:val="center" w:pos="2124"/>
          <w:tab w:val="center" w:pos="2833"/>
          <w:tab w:val="center" w:pos="3541"/>
          <w:tab w:val="center" w:pos="4695"/>
        </w:tabs>
        <w:spacing w:after="10" w:line="248" w:lineRule="auto"/>
        <w:ind w:left="-15"/>
      </w:pPr>
      <w:r>
        <w:t xml:space="preserve">IČO: </w:t>
      </w:r>
      <w:r>
        <w:tab/>
        <w:t xml:space="preserve"> </w:t>
      </w:r>
      <w:r>
        <w:tab/>
        <w:t xml:space="preserve"> </w:t>
      </w:r>
      <w:r>
        <w:tab/>
        <w:t xml:space="preserve"> </w:t>
      </w:r>
      <w:r>
        <w:tab/>
        <w:t xml:space="preserve"> </w:t>
      </w:r>
      <w:r>
        <w:tab/>
        <w:t xml:space="preserve"> </w:t>
      </w:r>
      <w:r>
        <w:tab/>
      </w:r>
      <w:r w:rsidR="00544B43" w:rsidRPr="00544B43">
        <w:t>00845451</w:t>
      </w:r>
      <w:r>
        <w:t xml:space="preserve"> </w:t>
      </w:r>
    </w:p>
    <w:p w:rsidR="00C26380" w:rsidRDefault="0061685E">
      <w:pPr>
        <w:tabs>
          <w:tab w:val="center" w:pos="2124"/>
          <w:tab w:val="center" w:pos="2833"/>
          <w:tab w:val="center" w:pos="3541"/>
          <w:tab w:val="center" w:pos="6038"/>
        </w:tabs>
        <w:spacing w:after="10" w:line="248" w:lineRule="auto"/>
        <w:ind w:left="-15"/>
      </w:pPr>
      <w:r>
        <w:t>Sídlo zadavatele:</w:t>
      </w:r>
      <w:r>
        <w:tab/>
      </w:r>
      <w:r>
        <w:tab/>
      </w:r>
      <w:r>
        <w:tab/>
      </w:r>
      <w:r>
        <w:tab/>
        <w:t xml:space="preserve">    </w:t>
      </w:r>
      <w:r w:rsidR="00544B43">
        <w:t xml:space="preserve">Ostrava, </w:t>
      </w:r>
      <w:r w:rsidR="00544B43" w:rsidRPr="00256049">
        <w:t>Prokešovo náměstí</w:t>
      </w:r>
      <w:r w:rsidR="00544B43">
        <w:t xml:space="preserve"> </w:t>
      </w:r>
      <w:r w:rsidR="00544B43" w:rsidRPr="00256049">
        <w:t>8</w:t>
      </w:r>
      <w:r w:rsidR="00544B43">
        <w:t>, PSČ 729 30</w:t>
      </w:r>
    </w:p>
    <w:p w:rsidR="00C26380" w:rsidRDefault="00455A63" w:rsidP="0004542F">
      <w:pPr>
        <w:tabs>
          <w:tab w:val="center" w:pos="5441"/>
        </w:tabs>
        <w:spacing w:after="263" w:line="248" w:lineRule="auto"/>
        <w:ind w:left="-15" w:right="-422"/>
        <w:rPr>
          <w:color w:val="FF0000"/>
        </w:rPr>
      </w:pPr>
      <w:r>
        <w:t xml:space="preserve">Osoba oprávněná zastupovat zadavatele: </w:t>
      </w:r>
      <w:r>
        <w:tab/>
      </w:r>
      <w:r w:rsidR="00544B43">
        <w:t xml:space="preserve">           </w:t>
      </w:r>
      <w:r w:rsidR="0004542F">
        <w:rPr>
          <w:bCs/>
          <w:color w:val="000000" w:themeColor="text1"/>
        </w:rPr>
        <w:t>doc</w:t>
      </w:r>
      <w:r w:rsidR="009C456C">
        <w:rPr>
          <w:bCs/>
          <w:color w:val="000000" w:themeColor="text1"/>
        </w:rPr>
        <w:t>.</w:t>
      </w:r>
      <w:r w:rsidR="0004542F">
        <w:rPr>
          <w:bCs/>
          <w:color w:val="000000" w:themeColor="text1"/>
        </w:rPr>
        <w:t xml:space="preserve"> Ing. Iveta </w:t>
      </w:r>
      <w:proofErr w:type="spellStart"/>
      <w:r w:rsidR="0004542F">
        <w:rPr>
          <w:bCs/>
          <w:color w:val="000000" w:themeColor="text1"/>
        </w:rPr>
        <w:t>Vozňáková</w:t>
      </w:r>
      <w:proofErr w:type="spellEnd"/>
      <w:r w:rsidR="0004542F">
        <w:rPr>
          <w:bCs/>
          <w:color w:val="000000" w:themeColor="text1"/>
        </w:rPr>
        <w:t xml:space="preserve">, Ph.D., </w:t>
      </w:r>
      <w:r w:rsidR="0004542F">
        <w:rPr>
          <w:color w:val="000000" w:themeColor="text1"/>
        </w:rPr>
        <w:t>náměstkyně primátora</w:t>
      </w:r>
      <w:r w:rsidR="00D43A0F" w:rsidRPr="00D43A0F">
        <w:rPr>
          <w:rFonts w:ascii="Lucida Grande" w:hAnsi="Lucida Grande"/>
          <w:color w:val="000000" w:themeColor="text1"/>
          <w:sz w:val="18"/>
          <w:szCs w:val="18"/>
        </w:rPr>
        <w:t xml:space="preserve"> </w:t>
      </w:r>
      <w:r w:rsidR="00544B43">
        <w:t xml:space="preserve">Adresa profilu zadavatele:    </w:t>
      </w:r>
      <w:r w:rsidR="0061685E">
        <w:t xml:space="preserve">                                   https://verejnezakazky.ostrava.cz/</w:t>
      </w:r>
      <w:r w:rsidR="00544B43">
        <w:t xml:space="preserve"> </w:t>
      </w:r>
      <w:r w:rsidR="00D43A0F">
        <w:t xml:space="preserve">             </w:t>
      </w:r>
      <w:r w:rsidR="008C7635">
        <w:t xml:space="preserve">                   </w:t>
      </w:r>
      <w:r w:rsidR="00544B43">
        <w:t xml:space="preserve">  </w:t>
      </w:r>
    </w:p>
    <w:p w:rsidR="00C26380" w:rsidRDefault="00455A63">
      <w:pPr>
        <w:pStyle w:val="Nadpis1"/>
        <w:ind w:left="-5"/>
      </w:pPr>
      <w:r>
        <w:t>Smluvní zastoupení zadavatele</w:t>
      </w:r>
      <w:r>
        <w:rPr>
          <w:u w:val="none"/>
        </w:rPr>
        <w:t xml:space="preserve"> </w:t>
      </w:r>
    </w:p>
    <w:p w:rsidR="00C26380" w:rsidRPr="00C642B8" w:rsidRDefault="00455A63">
      <w:pPr>
        <w:spacing w:after="263" w:line="248" w:lineRule="auto"/>
        <w:ind w:left="-5" w:hanging="10"/>
        <w:jc w:val="both"/>
        <w:rPr>
          <w:color w:val="auto"/>
        </w:rPr>
      </w:pPr>
      <w:r>
        <w:rPr>
          <w:b/>
        </w:rPr>
        <w:t>1.1</w:t>
      </w:r>
      <w:r>
        <w:rPr>
          <w:rFonts w:ascii="Arial" w:eastAsia="Arial" w:hAnsi="Arial" w:cs="Arial"/>
          <w:b/>
        </w:rPr>
        <w:t xml:space="preserve"> </w:t>
      </w:r>
      <w:r w:rsidR="008B7719" w:rsidRPr="00C642B8">
        <w:rPr>
          <w:rFonts w:cs="Arial"/>
          <w:color w:val="auto"/>
        </w:rPr>
        <w:t xml:space="preserve">Kontaktní osobou ve věcech souvisejících s touto veřejnou zakázkou je makléřská společnost SATUM CZECH s.r.o., </w:t>
      </w:r>
      <w:hyperlink r:id="rId10" w:history="1">
        <w:r w:rsidR="008B7719" w:rsidRPr="00C642B8">
          <w:rPr>
            <w:rFonts w:cs="Arial"/>
            <w:color w:val="auto"/>
            <w:u w:val="single"/>
          </w:rPr>
          <w:t>www.satum.cz</w:t>
        </w:r>
      </w:hyperlink>
      <w:r w:rsidR="008B7719" w:rsidRPr="00C642B8">
        <w:rPr>
          <w:rFonts w:cs="Arial"/>
          <w:color w:val="auto"/>
          <w:u w:val="single"/>
        </w:rPr>
        <w:t xml:space="preserve">, e-mail: </w:t>
      </w:r>
      <w:proofErr w:type="spellStart"/>
      <w:r w:rsidR="008B7719" w:rsidRPr="00C642B8">
        <w:rPr>
          <w:rFonts w:cs="Arial"/>
          <w:color w:val="auto"/>
          <w:u w:val="single"/>
        </w:rPr>
        <w:t>katerina.durovicova</w:t>
      </w:r>
      <w:proofErr w:type="spellEnd"/>
      <w:r w:rsidR="008B7719" w:rsidRPr="00C642B8">
        <w:rPr>
          <w:rFonts w:cs="Arial"/>
          <w:color w:val="auto"/>
          <w:u w:val="single"/>
          <w:lang w:val="en-US"/>
        </w:rPr>
        <w:t>@</w:t>
      </w:r>
      <w:r w:rsidR="008B7719" w:rsidRPr="00C642B8">
        <w:rPr>
          <w:rFonts w:cs="Arial"/>
          <w:color w:val="auto"/>
          <w:u w:val="single"/>
        </w:rPr>
        <w:t>satum.cz</w:t>
      </w:r>
      <w:r w:rsidR="00ED7E7B" w:rsidRPr="00C642B8">
        <w:rPr>
          <w:rFonts w:cs="Arial"/>
          <w:color w:val="auto"/>
        </w:rPr>
        <w:t>, tel: 595 132 330</w:t>
      </w:r>
      <w:r w:rsidR="008B7719" w:rsidRPr="00C642B8">
        <w:rPr>
          <w:rFonts w:cs="Arial"/>
          <w:color w:val="auto"/>
        </w:rPr>
        <w:t>. Kontaktní osoba zajišťuje veškerou komunikaci zadavatele s dodavateli</w:t>
      </w:r>
      <w:r w:rsidR="008B7719" w:rsidRPr="00C642B8">
        <w:rPr>
          <w:rFonts w:ascii="Arial" w:hAnsi="Arial" w:cs="Arial"/>
          <w:color w:val="auto"/>
        </w:rPr>
        <w:t xml:space="preserve"> </w:t>
      </w:r>
      <w:r w:rsidRPr="00C642B8">
        <w:rPr>
          <w:color w:val="auto"/>
        </w:rPr>
        <w:t>(dále jen „</w:t>
      </w:r>
      <w:r w:rsidRPr="00C642B8">
        <w:rPr>
          <w:b/>
          <w:i/>
          <w:color w:val="auto"/>
        </w:rPr>
        <w:t>zástupce zadavatele</w:t>
      </w:r>
      <w:r w:rsidRPr="00C642B8">
        <w:rPr>
          <w:color w:val="auto"/>
        </w:rPr>
        <w:t xml:space="preserve">“). </w:t>
      </w:r>
    </w:p>
    <w:p w:rsidR="00C26380" w:rsidRDefault="00455A63">
      <w:pPr>
        <w:spacing w:after="352" w:line="248" w:lineRule="auto"/>
        <w:ind w:left="-5" w:hanging="10"/>
        <w:jc w:val="both"/>
      </w:pPr>
      <w:r>
        <w:rPr>
          <w:b/>
        </w:rPr>
        <w:t>1.2</w:t>
      </w:r>
      <w:r>
        <w:rPr>
          <w:rFonts w:ascii="Arial" w:eastAsia="Arial" w:hAnsi="Arial" w:cs="Arial"/>
          <w:b/>
        </w:rPr>
        <w:t xml:space="preserve"> </w:t>
      </w:r>
      <w:r w:rsidRPr="00C642B8">
        <w:rPr>
          <w:color w:val="auto"/>
        </w:rPr>
        <w:t>Zástupce zadavatele zajišťuje veškerou komunikaci zadavatele s dodavateli (tím není dotčeno oprávnění osoby oprávněné zastupovat zadavatele či jiné pověřené osoby zadavatel</w:t>
      </w:r>
      <w:r w:rsidR="00C642B8" w:rsidRPr="00C642B8">
        <w:rPr>
          <w:color w:val="auto"/>
        </w:rPr>
        <w:t xml:space="preserve">e) a je </w:t>
      </w:r>
      <w:r w:rsidRPr="00C642B8">
        <w:rPr>
          <w:color w:val="auto"/>
        </w:rPr>
        <w:t xml:space="preserve">pověřen prováděním úkonů podle zákona v tomto zadávacím řízení, a to včetně přijímání případných námitek.  </w:t>
      </w:r>
    </w:p>
    <w:p w:rsidR="00C26380" w:rsidRDefault="00455A63">
      <w:pPr>
        <w:pStyle w:val="Nadpis1"/>
        <w:ind w:left="-5"/>
      </w:pPr>
      <w:r>
        <w:t>Komunikace</w:t>
      </w:r>
      <w:r>
        <w:rPr>
          <w:u w:val="none"/>
        </w:rPr>
        <w:t xml:space="preserve"> </w:t>
      </w:r>
    </w:p>
    <w:p w:rsidR="00C26380" w:rsidRDefault="00455A63">
      <w:pPr>
        <w:spacing w:after="207" w:line="248" w:lineRule="auto"/>
        <w:ind w:left="-5" w:hanging="10"/>
        <w:jc w:val="both"/>
      </w:pPr>
      <w:r>
        <w:rPr>
          <w:b/>
        </w:rPr>
        <w:t>1.3</w:t>
      </w:r>
      <w:r>
        <w:rPr>
          <w:rFonts w:ascii="Arial" w:eastAsia="Arial" w:hAnsi="Arial" w:cs="Arial"/>
          <w:b/>
        </w:rPr>
        <w:t xml:space="preserve"> </w:t>
      </w:r>
      <w:r>
        <w:t xml:space="preserve">Zadavatel (zástupce zadavatele) komunikuje s dodavateli v souladu s § 211 odst. 1 zákona zásadně písemně. Písemná komunikace mezi zadavatelem (zástupcem zadavatele) a dodavatelem musí probíhat zejména elektronicky. </w:t>
      </w:r>
    </w:p>
    <w:p w:rsidR="00C26380" w:rsidRDefault="00455A63">
      <w:pPr>
        <w:spacing w:after="207" w:line="248" w:lineRule="auto"/>
        <w:ind w:left="-5" w:hanging="10"/>
        <w:jc w:val="both"/>
      </w:pPr>
      <w:r>
        <w:t xml:space="preserve"> </w:t>
      </w:r>
    </w:p>
    <w:tbl>
      <w:tblPr>
        <w:tblStyle w:val="TableGrid"/>
        <w:tblW w:w="9300" w:type="dxa"/>
        <w:tblInd w:w="-113" w:type="dxa"/>
        <w:tblCellMar>
          <w:top w:w="71" w:type="dxa"/>
          <w:right w:w="115" w:type="dxa"/>
        </w:tblCellMar>
        <w:tblLook w:val="04A0" w:firstRow="1" w:lastRow="0" w:firstColumn="1" w:lastColumn="0" w:noHBand="0" w:noVBand="1"/>
      </w:tblPr>
      <w:tblGrid>
        <w:gridCol w:w="821"/>
        <w:gridCol w:w="8479"/>
      </w:tblGrid>
      <w:tr w:rsidR="00C26380">
        <w:trPr>
          <w:trHeight w:val="391"/>
        </w:trPr>
        <w:tc>
          <w:tcPr>
            <w:tcW w:w="821" w:type="dxa"/>
            <w:tcBorders>
              <w:top w:val="single" w:sz="4" w:space="0" w:color="000000"/>
              <w:left w:val="single" w:sz="4" w:space="0" w:color="000000"/>
              <w:bottom w:val="single" w:sz="4" w:space="0" w:color="000000"/>
              <w:right w:val="nil"/>
            </w:tcBorders>
          </w:tcPr>
          <w:p w:rsidR="00C26380" w:rsidRDefault="00390050">
            <w:pPr>
              <w:ind w:left="113"/>
            </w:pPr>
            <w:r>
              <w:rPr>
                <w:b/>
                <w:sz w:val="28"/>
              </w:rPr>
              <w:t>2</w:t>
            </w:r>
            <w:r w:rsidR="00455A63">
              <w:rPr>
                <w:b/>
                <w:sz w:val="28"/>
              </w:rPr>
              <w:t>.</w:t>
            </w:r>
            <w:r w:rsidR="00455A63">
              <w:rPr>
                <w:rFonts w:ascii="Arial" w:eastAsia="Arial" w:hAnsi="Arial" w:cs="Arial"/>
                <w:b/>
                <w:sz w:val="28"/>
              </w:rPr>
              <w:t xml:space="preserve"> </w:t>
            </w:r>
          </w:p>
        </w:tc>
        <w:tc>
          <w:tcPr>
            <w:tcW w:w="8478" w:type="dxa"/>
            <w:tcBorders>
              <w:top w:val="single" w:sz="4" w:space="0" w:color="000000"/>
              <w:left w:val="nil"/>
              <w:bottom w:val="single" w:sz="4" w:space="0" w:color="000000"/>
              <w:right w:val="single" w:sz="4" w:space="0" w:color="000000"/>
            </w:tcBorders>
          </w:tcPr>
          <w:p w:rsidR="00C26380" w:rsidRDefault="00455A63">
            <w:r>
              <w:rPr>
                <w:b/>
                <w:sz w:val="28"/>
              </w:rPr>
              <w:t xml:space="preserve">Předmět veřejné zakázky </w:t>
            </w:r>
          </w:p>
        </w:tc>
      </w:tr>
    </w:tbl>
    <w:p w:rsidR="00C26380" w:rsidRDefault="00F866B2">
      <w:pPr>
        <w:pStyle w:val="Nadpis1"/>
        <w:ind w:left="-5"/>
        <w:rPr>
          <w:u w:val="none"/>
        </w:rPr>
      </w:pPr>
      <w:r>
        <w:t xml:space="preserve">2.1 </w:t>
      </w:r>
      <w:r w:rsidR="00455A63">
        <w:t>Předmět plnění veřejné zakázky</w:t>
      </w:r>
      <w:r w:rsidR="00455A63">
        <w:rPr>
          <w:u w:val="none"/>
        </w:rPr>
        <w:t xml:space="preserve"> </w:t>
      </w:r>
    </w:p>
    <w:p w:rsidR="00374EC7" w:rsidRPr="00374EC7" w:rsidRDefault="00374EC7" w:rsidP="00374EC7">
      <w:r w:rsidRPr="00374EC7">
        <w:rPr>
          <w:rFonts w:cs="Arial"/>
        </w:rPr>
        <w:t>Centrální pojištění majetku a odpovědnosti za újmu Statutárního města Ostravy, jeho příspěvkových organizací, městských obvodů a obchodních společností</w:t>
      </w:r>
    </w:p>
    <w:p w:rsidR="00044603" w:rsidRPr="00C642B8" w:rsidRDefault="00044603" w:rsidP="00044603">
      <w:pPr>
        <w:rPr>
          <w:b/>
          <w:color w:val="auto"/>
        </w:rPr>
      </w:pPr>
      <w:r w:rsidRPr="00C642B8">
        <w:rPr>
          <w:b/>
          <w:color w:val="auto"/>
        </w:rPr>
        <w:t>Veřejná zakázka je rozdělena na 2 samostatné části:</w:t>
      </w:r>
    </w:p>
    <w:p w:rsidR="00044603" w:rsidRDefault="009D0826" w:rsidP="009D0826">
      <w:pPr>
        <w:spacing w:after="200" w:line="276" w:lineRule="auto"/>
        <w:jc w:val="both"/>
        <w:outlineLvl w:val="1"/>
      </w:pPr>
      <w:r>
        <w:rPr>
          <w:b/>
        </w:rPr>
        <w:t>a)</w:t>
      </w:r>
      <w:r w:rsidR="00455A63">
        <w:rPr>
          <w:rFonts w:ascii="Arial" w:eastAsia="Arial" w:hAnsi="Arial" w:cs="Arial"/>
          <w:b/>
        </w:rPr>
        <w:t xml:space="preserve"> </w:t>
      </w:r>
      <w:r w:rsidR="00044603" w:rsidRPr="00044603">
        <w:t>Účelem této veřejné zakázky je p</w:t>
      </w:r>
      <w:r w:rsidR="00044603" w:rsidRPr="00044603">
        <w:rPr>
          <w:iCs/>
        </w:rPr>
        <w:t>ojištění nemovitého, movitého majetku a odpovědnosti za škodu Statutárního města Ostravy vč</w:t>
      </w:r>
      <w:r w:rsidR="004774C0">
        <w:rPr>
          <w:iCs/>
        </w:rPr>
        <w:t>etně</w:t>
      </w:r>
      <w:r w:rsidR="00044603" w:rsidRPr="00044603">
        <w:rPr>
          <w:iCs/>
        </w:rPr>
        <w:t xml:space="preserve"> jeho příspěvkovýc</w:t>
      </w:r>
      <w:r w:rsidR="00044603">
        <w:rPr>
          <w:iCs/>
        </w:rPr>
        <w:t>h organizací, městských obvodů</w:t>
      </w:r>
      <w:r w:rsidR="004774C0">
        <w:rPr>
          <w:iCs/>
        </w:rPr>
        <w:t xml:space="preserve"> včetně jejich příspěvkových organizací</w:t>
      </w:r>
      <w:r w:rsidR="00044603" w:rsidRPr="00044603">
        <w:rPr>
          <w:iCs/>
        </w:rPr>
        <w:t xml:space="preserve"> a obchodních společností</w:t>
      </w:r>
      <w:r w:rsidR="0061685E">
        <w:rPr>
          <w:iCs/>
        </w:rPr>
        <w:t xml:space="preserve"> se 100 % majetkovou účastí </w:t>
      </w:r>
      <w:r w:rsidR="000F3DDE">
        <w:rPr>
          <w:iCs/>
        </w:rPr>
        <w:t>statutárního města Ostravy</w:t>
      </w:r>
      <w:r w:rsidR="004774C0">
        <w:rPr>
          <w:iCs/>
        </w:rPr>
        <w:t>,</w:t>
      </w:r>
      <w:r w:rsidR="00044603" w:rsidRPr="00044603">
        <w:rPr>
          <w:iCs/>
        </w:rPr>
        <w:t xml:space="preserve"> včetně pojištění motorových vozidel zahrnující pojištění odpovědnosti za škodu způsobenou provozem vozidla („povinné ručení“) a havarijní pojištění vybraných vozidel.</w:t>
      </w:r>
      <w:r w:rsidR="00044603">
        <w:rPr>
          <w:iCs/>
        </w:rPr>
        <w:t xml:space="preserve"> </w:t>
      </w:r>
      <w:r>
        <w:rPr>
          <w:iCs/>
        </w:rPr>
        <w:t xml:space="preserve">Dále pak </w:t>
      </w:r>
      <w:r w:rsidR="00044603">
        <w:t>pojištění odpovědnosti zaměstnanců za újmu způsobenou zaměstnavateli.</w:t>
      </w:r>
    </w:p>
    <w:p w:rsidR="009D0826" w:rsidRPr="00262CFE" w:rsidRDefault="009D0826" w:rsidP="00F2104A">
      <w:pPr>
        <w:spacing w:after="263" w:line="248" w:lineRule="auto"/>
        <w:ind w:left="-5" w:hanging="10"/>
        <w:jc w:val="both"/>
        <w:rPr>
          <w:iCs/>
          <w:color w:val="auto"/>
        </w:rPr>
      </w:pPr>
      <w:r w:rsidRPr="009D0826">
        <w:rPr>
          <w:iCs/>
        </w:rPr>
        <w:t>Podmínky a rozsah pojištění (zejména požadované pojistné limity</w:t>
      </w:r>
      <w:r w:rsidR="00FD1561">
        <w:rPr>
          <w:iCs/>
        </w:rPr>
        <w:t xml:space="preserve"> pro jednotlivé druhy pojištění</w:t>
      </w:r>
      <w:r w:rsidRPr="009D0826">
        <w:rPr>
          <w:iCs/>
        </w:rPr>
        <w:t xml:space="preserve">), jakož i veškeré požadavky zadavatele na příslušný druh pojištění, jsou blíže vymezeny ve specifikaci předmětu plnění – v obchodních podmínkách </w:t>
      </w:r>
      <w:r w:rsidRPr="00262CFE">
        <w:rPr>
          <w:iCs/>
          <w:color w:val="auto"/>
        </w:rPr>
        <w:t>(</w:t>
      </w:r>
      <w:r w:rsidR="00C642B8" w:rsidRPr="00262CFE">
        <w:rPr>
          <w:iCs/>
          <w:color w:val="auto"/>
        </w:rPr>
        <w:t>Příloh</w:t>
      </w:r>
      <w:r w:rsidR="001514B0" w:rsidRPr="00262CFE">
        <w:rPr>
          <w:iCs/>
          <w:color w:val="auto"/>
        </w:rPr>
        <w:t xml:space="preserve">y </w:t>
      </w:r>
      <w:r w:rsidR="00C642B8" w:rsidRPr="00262CFE">
        <w:rPr>
          <w:iCs/>
          <w:color w:val="auto"/>
        </w:rPr>
        <w:t>č. 1</w:t>
      </w:r>
      <w:r w:rsidR="00CA4B4E" w:rsidRPr="00262CFE">
        <w:rPr>
          <w:iCs/>
          <w:color w:val="auto"/>
        </w:rPr>
        <w:t xml:space="preserve"> - 8</w:t>
      </w:r>
      <w:r w:rsidRPr="00262CFE">
        <w:rPr>
          <w:iCs/>
          <w:color w:val="auto"/>
        </w:rPr>
        <w:t xml:space="preserve"> dokumentace zadávacího řízení). </w:t>
      </w:r>
    </w:p>
    <w:p w:rsidR="00044603" w:rsidRDefault="009D0826" w:rsidP="009D0826">
      <w:pPr>
        <w:spacing w:after="200" w:line="276" w:lineRule="auto"/>
        <w:jc w:val="both"/>
        <w:outlineLvl w:val="1"/>
        <w:rPr>
          <w:iCs/>
        </w:rPr>
      </w:pPr>
      <w:r>
        <w:rPr>
          <w:b/>
        </w:rPr>
        <w:t xml:space="preserve">b) </w:t>
      </w:r>
      <w:r w:rsidR="00044603">
        <w:rPr>
          <w:rFonts w:ascii="Arial" w:eastAsia="Arial" w:hAnsi="Arial" w:cs="Arial"/>
          <w:b/>
        </w:rPr>
        <w:t xml:space="preserve"> </w:t>
      </w:r>
      <w:r w:rsidR="00044603" w:rsidRPr="00044603">
        <w:t>Účelem této veřejné zakázky je p</w:t>
      </w:r>
      <w:r w:rsidR="00044603" w:rsidRPr="00044603">
        <w:rPr>
          <w:iCs/>
        </w:rPr>
        <w:t xml:space="preserve">ojištění </w:t>
      </w:r>
      <w:r>
        <w:rPr>
          <w:iCs/>
        </w:rPr>
        <w:t>odpovědnosti manažerů (D&amp;O) Statutárního města Ostravy</w:t>
      </w:r>
      <w:r w:rsidR="00CA4B4E">
        <w:rPr>
          <w:iCs/>
        </w:rPr>
        <w:t>, resp. obchodních společností se 100 % majetkovou účastí Statutárního města Ostravy</w:t>
      </w:r>
      <w:r>
        <w:rPr>
          <w:iCs/>
        </w:rPr>
        <w:t>.</w:t>
      </w:r>
    </w:p>
    <w:p w:rsidR="009D0826" w:rsidRPr="009D0826" w:rsidRDefault="009D0826" w:rsidP="009D0826">
      <w:pPr>
        <w:spacing w:after="263" w:line="248" w:lineRule="auto"/>
        <w:ind w:left="-5" w:hanging="10"/>
        <w:jc w:val="both"/>
        <w:rPr>
          <w:iCs/>
        </w:rPr>
      </w:pPr>
      <w:r w:rsidRPr="009D0826">
        <w:rPr>
          <w:iCs/>
        </w:rPr>
        <w:t>Podmínky a rozsah pojištění (zejména požadované pojistné limity pro</w:t>
      </w:r>
      <w:r w:rsidR="00F866B2">
        <w:rPr>
          <w:iCs/>
        </w:rPr>
        <w:t xml:space="preserve"> D&amp;O</w:t>
      </w:r>
      <w:r w:rsidRPr="009D0826">
        <w:rPr>
          <w:iCs/>
        </w:rPr>
        <w:t xml:space="preserve"> jsou blíže vymezeny ve specifikaci předmětu plnění – v obchodních podmínkách </w:t>
      </w:r>
      <w:r w:rsidR="00F866B2" w:rsidRPr="00262CFE">
        <w:rPr>
          <w:iCs/>
          <w:color w:val="auto"/>
        </w:rPr>
        <w:t>(</w:t>
      </w:r>
      <w:r w:rsidR="00C642B8" w:rsidRPr="00262CFE">
        <w:rPr>
          <w:iCs/>
          <w:color w:val="auto"/>
        </w:rPr>
        <w:t xml:space="preserve">Příloha č. </w:t>
      </w:r>
      <w:r w:rsidR="001514B0" w:rsidRPr="00262CFE">
        <w:rPr>
          <w:iCs/>
          <w:color w:val="auto"/>
        </w:rPr>
        <w:t>9</w:t>
      </w:r>
      <w:r w:rsidRPr="00262CFE">
        <w:rPr>
          <w:iCs/>
          <w:color w:val="auto"/>
        </w:rPr>
        <w:t xml:space="preserve"> dokumentace zadávacího řízení). </w:t>
      </w:r>
    </w:p>
    <w:p w:rsidR="00044603" w:rsidRPr="00C642B8" w:rsidRDefault="009D0826" w:rsidP="00044603">
      <w:pPr>
        <w:spacing w:after="200" w:line="276" w:lineRule="auto"/>
        <w:jc w:val="both"/>
        <w:outlineLvl w:val="1"/>
        <w:rPr>
          <w:b/>
          <w:iCs/>
          <w:color w:val="auto"/>
        </w:rPr>
      </w:pPr>
      <w:r w:rsidRPr="00C642B8">
        <w:rPr>
          <w:b/>
          <w:iCs/>
          <w:color w:val="auto"/>
        </w:rPr>
        <w:lastRenderedPageBreak/>
        <w:t>Uchazeč může podat nabídku pro část a) nebo část b) samostatně.</w:t>
      </w:r>
    </w:p>
    <w:p w:rsidR="00044603" w:rsidRPr="00C642B8" w:rsidRDefault="00044603" w:rsidP="00F866B2">
      <w:pPr>
        <w:spacing w:after="200" w:line="276" w:lineRule="auto"/>
        <w:jc w:val="both"/>
        <w:outlineLvl w:val="1"/>
        <w:rPr>
          <w:iCs/>
          <w:color w:val="auto"/>
        </w:rPr>
      </w:pPr>
      <w:r w:rsidRPr="00C642B8">
        <w:rPr>
          <w:iCs/>
          <w:color w:val="auto"/>
        </w:rPr>
        <w:t>Pojistné smlouvy budou uzavírány samostatně mezi zadavatelem, jednotlivými městskými obvody a obchodními společnostmi jako pojistníky a dodavatelem jako pojistitelem. Pojištěnými budou zadavatel vč</w:t>
      </w:r>
      <w:r w:rsidR="004774C0">
        <w:rPr>
          <w:iCs/>
          <w:color w:val="auto"/>
        </w:rPr>
        <w:t>etně</w:t>
      </w:r>
      <w:r w:rsidRPr="00C642B8">
        <w:rPr>
          <w:iCs/>
          <w:color w:val="auto"/>
        </w:rPr>
        <w:t xml:space="preserve"> příspěvkových organizací, jednotlivé městské obvody a jejich příspěvkové organizace a obchodní společnosti. </w:t>
      </w:r>
    </w:p>
    <w:p w:rsidR="00044603" w:rsidRPr="00262CFE" w:rsidRDefault="003E1473" w:rsidP="00044603">
      <w:pPr>
        <w:spacing w:after="0" w:line="240" w:lineRule="auto"/>
        <w:jc w:val="both"/>
        <w:rPr>
          <w:color w:val="auto"/>
        </w:rPr>
      </w:pPr>
      <w:r>
        <w:t>Seznam pojištěných subjektů je v </w:t>
      </w:r>
      <w:r w:rsidR="000E164B" w:rsidRPr="00262CFE">
        <w:rPr>
          <w:color w:val="auto"/>
        </w:rPr>
        <w:t>příloze č. 11</w:t>
      </w:r>
    </w:p>
    <w:p w:rsidR="00044603" w:rsidRPr="00044603" w:rsidRDefault="00044603" w:rsidP="00044603">
      <w:pPr>
        <w:spacing w:after="0" w:line="240" w:lineRule="auto"/>
        <w:jc w:val="both"/>
      </w:pPr>
    </w:p>
    <w:p w:rsidR="00C26380" w:rsidRDefault="00F866B2">
      <w:pPr>
        <w:pStyle w:val="Nadpis1"/>
        <w:ind w:left="-5"/>
      </w:pPr>
      <w:r>
        <w:t xml:space="preserve">2.2 </w:t>
      </w:r>
      <w:r w:rsidR="00455A63">
        <w:t>Klasifikace předmětu veřejné zakázky</w:t>
      </w:r>
      <w:r w:rsidR="00455A63">
        <w:rPr>
          <w:u w:val="none"/>
        </w:rPr>
        <w:t xml:space="preserve"> </w:t>
      </w:r>
    </w:p>
    <w:p w:rsidR="00C26380" w:rsidRDefault="00455A63">
      <w:pPr>
        <w:spacing w:after="232" w:line="248" w:lineRule="auto"/>
        <w:ind w:left="-5" w:hanging="10"/>
        <w:jc w:val="both"/>
      </w:pPr>
      <w:r>
        <w:t xml:space="preserve">Zadavatel vymezil předmět veřejné zakázky podle hlavního slovníku jednotného klasifikačního systému pro účely veřejných zakázek: </w:t>
      </w:r>
    </w:p>
    <w:p w:rsidR="00C26380" w:rsidRDefault="00455A63">
      <w:pPr>
        <w:spacing w:after="10" w:line="248" w:lineRule="auto"/>
        <w:ind w:left="-5" w:hanging="10"/>
        <w:jc w:val="both"/>
      </w:pPr>
      <w:r>
        <w:t xml:space="preserve">Kód CPV: </w:t>
      </w:r>
    </w:p>
    <w:tbl>
      <w:tblPr>
        <w:tblStyle w:val="TableGrid"/>
        <w:tblW w:w="5343" w:type="dxa"/>
        <w:tblInd w:w="0" w:type="dxa"/>
        <w:tblLook w:val="04A0" w:firstRow="1" w:lastRow="0" w:firstColumn="1" w:lastColumn="0" w:noHBand="0" w:noVBand="1"/>
      </w:tblPr>
      <w:tblGrid>
        <w:gridCol w:w="1416"/>
        <w:gridCol w:w="3927"/>
      </w:tblGrid>
      <w:tr w:rsidR="00C26380">
        <w:trPr>
          <w:trHeight w:val="221"/>
        </w:trPr>
        <w:tc>
          <w:tcPr>
            <w:tcW w:w="1416" w:type="dxa"/>
            <w:tcBorders>
              <w:top w:val="nil"/>
              <w:left w:val="nil"/>
              <w:bottom w:val="nil"/>
              <w:right w:val="nil"/>
            </w:tcBorders>
          </w:tcPr>
          <w:p w:rsidR="00C26380" w:rsidRDefault="00455A63">
            <w:r>
              <w:t xml:space="preserve">66510000-8 </w:t>
            </w:r>
          </w:p>
        </w:tc>
        <w:tc>
          <w:tcPr>
            <w:tcW w:w="3927" w:type="dxa"/>
            <w:tcBorders>
              <w:top w:val="nil"/>
              <w:left w:val="nil"/>
              <w:bottom w:val="nil"/>
              <w:right w:val="nil"/>
            </w:tcBorders>
          </w:tcPr>
          <w:p w:rsidR="00C26380" w:rsidRDefault="00455A63">
            <w:r>
              <w:t xml:space="preserve">Pojištění </w:t>
            </w:r>
          </w:p>
        </w:tc>
      </w:tr>
      <w:tr w:rsidR="00C26380">
        <w:trPr>
          <w:trHeight w:val="295"/>
        </w:trPr>
        <w:tc>
          <w:tcPr>
            <w:tcW w:w="1416" w:type="dxa"/>
            <w:tcBorders>
              <w:top w:val="nil"/>
              <w:left w:val="nil"/>
              <w:bottom w:val="nil"/>
              <w:right w:val="nil"/>
            </w:tcBorders>
          </w:tcPr>
          <w:p w:rsidR="00C26380" w:rsidRDefault="00455A63">
            <w:r>
              <w:t>66515200-5</w:t>
            </w:r>
            <w:r>
              <w:rPr>
                <w:rFonts w:ascii="Arial" w:eastAsia="Arial" w:hAnsi="Arial" w:cs="Arial"/>
                <w:sz w:val="24"/>
              </w:rPr>
              <w:t xml:space="preserve"> </w:t>
            </w:r>
          </w:p>
        </w:tc>
        <w:tc>
          <w:tcPr>
            <w:tcW w:w="3927" w:type="dxa"/>
            <w:tcBorders>
              <w:top w:val="nil"/>
              <w:left w:val="nil"/>
              <w:bottom w:val="nil"/>
              <w:right w:val="nil"/>
            </w:tcBorders>
          </w:tcPr>
          <w:p w:rsidR="00C26380" w:rsidRDefault="00455A63">
            <w:r>
              <w:t xml:space="preserve">Pojištění majetku </w:t>
            </w:r>
          </w:p>
        </w:tc>
      </w:tr>
      <w:tr w:rsidR="00C26380">
        <w:trPr>
          <w:trHeight w:val="269"/>
        </w:trPr>
        <w:tc>
          <w:tcPr>
            <w:tcW w:w="1416" w:type="dxa"/>
            <w:tcBorders>
              <w:top w:val="nil"/>
              <w:left w:val="nil"/>
              <w:bottom w:val="nil"/>
              <w:right w:val="nil"/>
            </w:tcBorders>
          </w:tcPr>
          <w:p w:rsidR="00C26380" w:rsidRDefault="00455A63">
            <w:r>
              <w:t xml:space="preserve">66516000-0 </w:t>
            </w:r>
          </w:p>
        </w:tc>
        <w:tc>
          <w:tcPr>
            <w:tcW w:w="3927" w:type="dxa"/>
            <w:tcBorders>
              <w:top w:val="nil"/>
              <w:left w:val="nil"/>
              <w:bottom w:val="nil"/>
              <w:right w:val="nil"/>
            </w:tcBorders>
          </w:tcPr>
          <w:p w:rsidR="00C26380" w:rsidRDefault="00455A63">
            <w:r>
              <w:t xml:space="preserve">Pojištění odpovědnosti za škodu </w:t>
            </w:r>
          </w:p>
        </w:tc>
      </w:tr>
      <w:tr w:rsidR="00C26380">
        <w:trPr>
          <w:trHeight w:val="269"/>
        </w:trPr>
        <w:tc>
          <w:tcPr>
            <w:tcW w:w="1416" w:type="dxa"/>
            <w:tcBorders>
              <w:top w:val="nil"/>
              <w:left w:val="nil"/>
              <w:bottom w:val="nil"/>
              <w:right w:val="nil"/>
            </w:tcBorders>
          </w:tcPr>
          <w:p w:rsidR="00C26380" w:rsidRDefault="00455A63">
            <w:r>
              <w:t xml:space="preserve">66514110-0 </w:t>
            </w:r>
          </w:p>
        </w:tc>
        <w:tc>
          <w:tcPr>
            <w:tcW w:w="3927" w:type="dxa"/>
            <w:tcBorders>
              <w:top w:val="nil"/>
              <w:left w:val="nil"/>
              <w:bottom w:val="nil"/>
              <w:right w:val="nil"/>
            </w:tcBorders>
          </w:tcPr>
          <w:p w:rsidR="00C26380" w:rsidRDefault="00455A63">
            <w:r>
              <w:t xml:space="preserve">Pojištění motorových vozidel </w:t>
            </w:r>
          </w:p>
          <w:p w:rsidR="00EE2B95" w:rsidRDefault="00EE2B95"/>
        </w:tc>
      </w:tr>
      <w:tr w:rsidR="00C26380">
        <w:trPr>
          <w:trHeight w:val="247"/>
        </w:trPr>
        <w:tc>
          <w:tcPr>
            <w:tcW w:w="1416" w:type="dxa"/>
            <w:tcBorders>
              <w:top w:val="nil"/>
              <w:left w:val="nil"/>
              <w:bottom w:val="nil"/>
              <w:right w:val="nil"/>
            </w:tcBorders>
          </w:tcPr>
          <w:p w:rsidR="00C26380" w:rsidRDefault="00C26380"/>
        </w:tc>
        <w:tc>
          <w:tcPr>
            <w:tcW w:w="3927" w:type="dxa"/>
            <w:tcBorders>
              <w:top w:val="nil"/>
              <w:left w:val="nil"/>
              <w:bottom w:val="nil"/>
              <w:right w:val="nil"/>
            </w:tcBorders>
          </w:tcPr>
          <w:p w:rsidR="00C26380" w:rsidRDefault="00C26380">
            <w:pPr>
              <w:jc w:val="both"/>
            </w:pPr>
          </w:p>
        </w:tc>
      </w:tr>
    </w:tbl>
    <w:p w:rsidR="00C26380" w:rsidRPr="00C642B8" w:rsidRDefault="00F866B2">
      <w:pPr>
        <w:pStyle w:val="Nadpis1"/>
        <w:ind w:left="-5"/>
        <w:rPr>
          <w:color w:val="auto"/>
        </w:rPr>
      </w:pPr>
      <w:r>
        <w:t xml:space="preserve">2.3 </w:t>
      </w:r>
      <w:r w:rsidR="00455A63">
        <w:t>Předpokládaná hodnota veřejné zakázky</w:t>
      </w:r>
      <w:r w:rsidR="00455A63">
        <w:rPr>
          <w:u w:val="none"/>
        </w:rPr>
        <w:t xml:space="preserve"> </w:t>
      </w:r>
    </w:p>
    <w:p w:rsidR="00C26380" w:rsidRPr="00C642B8" w:rsidRDefault="00455A63">
      <w:pPr>
        <w:spacing w:after="263" w:line="248" w:lineRule="auto"/>
        <w:ind w:left="-5" w:hanging="10"/>
        <w:jc w:val="both"/>
        <w:rPr>
          <w:color w:val="auto"/>
        </w:rPr>
      </w:pPr>
      <w:r w:rsidRPr="00C642B8">
        <w:rPr>
          <w:color w:val="auto"/>
        </w:rPr>
        <w:t xml:space="preserve">Předpokládaná hodnota veřejné zakázky stanovená zadavatelem podle § 16 a násl. zákona ve spojení s § 21 odst. 1 písm. b) zákona činí </w:t>
      </w:r>
      <w:r w:rsidR="00C642B8" w:rsidRPr="00C642B8">
        <w:rPr>
          <w:b/>
          <w:color w:val="auto"/>
        </w:rPr>
        <w:t>pro variantu 1) na dobu 5 let</w:t>
      </w:r>
      <w:r w:rsidR="00C642B8" w:rsidRPr="00C642B8">
        <w:rPr>
          <w:color w:val="auto"/>
        </w:rPr>
        <w:t xml:space="preserve"> </w:t>
      </w:r>
      <w:r w:rsidR="00C642B8" w:rsidRPr="00C642B8">
        <w:rPr>
          <w:b/>
          <w:color w:val="auto"/>
        </w:rPr>
        <w:t>23</w:t>
      </w:r>
      <w:r w:rsidR="00F866B2" w:rsidRPr="00C642B8">
        <w:rPr>
          <w:b/>
          <w:color w:val="auto"/>
        </w:rPr>
        <w:t>0</w:t>
      </w:r>
      <w:r w:rsidRPr="00C642B8">
        <w:rPr>
          <w:b/>
          <w:color w:val="auto"/>
        </w:rPr>
        <w:t>.000.000,- Kč bez DPH</w:t>
      </w:r>
      <w:r w:rsidRPr="00C642B8">
        <w:rPr>
          <w:color w:val="auto"/>
        </w:rPr>
        <w:t xml:space="preserve">. </w:t>
      </w:r>
    </w:p>
    <w:p w:rsidR="00C26380" w:rsidRPr="00C642B8" w:rsidRDefault="00455A63">
      <w:pPr>
        <w:spacing w:after="263" w:line="248" w:lineRule="auto"/>
        <w:ind w:left="-5" w:hanging="10"/>
        <w:jc w:val="both"/>
        <w:rPr>
          <w:color w:val="auto"/>
        </w:rPr>
      </w:pPr>
      <w:r w:rsidRPr="00C642B8">
        <w:rPr>
          <w:color w:val="auto"/>
        </w:rPr>
        <w:t xml:space="preserve">Předpokládaná hodnota vyhrazeného plnění podle § 100 odst. 3 zákona činí </w:t>
      </w:r>
      <w:r w:rsidR="00C642B8" w:rsidRPr="00C642B8">
        <w:rPr>
          <w:b/>
          <w:color w:val="auto"/>
        </w:rPr>
        <w:t>5</w:t>
      </w:r>
      <w:r w:rsidRPr="00C642B8">
        <w:rPr>
          <w:b/>
          <w:color w:val="auto"/>
        </w:rPr>
        <w:t>.000.000,- Kč bez DPH.</w:t>
      </w:r>
      <w:r w:rsidRPr="00C642B8">
        <w:rPr>
          <w:color w:val="auto"/>
        </w:rPr>
        <w:t xml:space="preserve"> </w:t>
      </w:r>
    </w:p>
    <w:p w:rsidR="00C26380" w:rsidRPr="00C642B8" w:rsidRDefault="00455A63">
      <w:pPr>
        <w:spacing w:after="263" w:line="248" w:lineRule="auto"/>
        <w:ind w:left="-5" w:hanging="10"/>
        <w:jc w:val="both"/>
        <w:rPr>
          <w:color w:val="auto"/>
        </w:rPr>
      </w:pPr>
      <w:r w:rsidRPr="00C642B8">
        <w:rPr>
          <w:color w:val="auto"/>
        </w:rPr>
        <w:t xml:space="preserve">Celková předpokládaná hodnota veřejné zakázky včetně předpokládané hodnoty vyhrazeného plnění podle § 100 odst. 3 zákona činí </w:t>
      </w:r>
      <w:r w:rsidR="00C642B8" w:rsidRPr="00C642B8">
        <w:rPr>
          <w:color w:val="auto"/>
        </w:rPr>
        <w:t xml:space="preserve">pro variantu 1) na dobu 5 let </w:t>
      </w:r>
      <w:r w:rsidR="00C642B8" w:rsidRPr="00C642B8">
        <w:rPr>
          <w:b/>
          <w:color w:val="auto"/>
        </w:rPr>
        <w:t>235</w:t>
      </w:r>
      <w:r w:rsidRPr="00C642B8">
        <w:rPr>
          <w:b/>
          <w:color w:val="auto"/>
        </w:rPr>
        <w:t>.000.000,- Kč bez DPH.</w:t>
      </w:r>
      <w:r w:rsidRPr="00C642B8">
        <w:rPr>
          <w:color w:val="auto"/>
        </w:rPr>
        <w:t xml:space="preserve"> </w:t>
      </w:r>
    </w:p>
    <w:p w:rsidR="00C642B8" w:rsidRPr="00C642B8" w:rsidRDefault="00C642B8" w:rsidP="00C642B8">
      <w:pPr>
        <w:spacing w:after="263" w:line="248" w:lineRule="auto"/>
        <w:ind w:left="-5" w:hanging="10"/>
        <w:jc w:val="both"/>
        <w:rPr>
          <w:color w:val="auto"/>
        </w:rPr>
      </w:pPr>
      <w:r w:rsidRPr="00C642B8">
        <w:rPr>
          <w:color w:val="auto"/>
        </w:rPr>
        <w:t xml:space="preserve">Předpokládaná hodnota veřejné zakázky stanovená zadavatelem podle § 16 a násl. zákona ve spojení s § 21 odst. 1 písm. b) zákona činí </w:t>
      </w:r>
      <w:r w:rsidRPr="00C642B8">
        <w:rPr>
          <w:b/>
          <w:color w:val="auto"/>
        </w:rPr>
        <w:t>pro variantu 2) na dobu 3 let 150.000.000,- Kč bez DPH</w:t>
      </w:r>
      <w:r w:rsidRPr="00C642B8">
        <w:rPr>
          <w:color w:val="auto"/>
        </w:rPr>
        <w:t xml:space="preserve">. </w:t>
      </w:r>
    </w:p>
    <w:p w:rsidR="00C642B8" w:rsidRPr="00C642B8" w:rsidRDefault="00C642B8" w:rsidP="00C642B8">
      <w:pPr>
        <w:spacing w:after="263" w:line="248" w:lineRule="auto"/>
        <w:ind w:left="-5" w:hanging="10"/>
        <w:jc w:val="both"/>
        <w:rPr>
          <w:color w:val="auto"/>
        </w:rPr>
      </w:pPr>
      <w:r w:rsidRPr="00C642B8">
        <w:rPr>
          <w:color w:val="auto"/>
        </w:rPr>
        <w:t xml:space="preserve">Předpokládaná hodnota vyhrazeného plnění podle § 100 odst. 3 zákona činí </w:t>
      </w:r>
      <w:r w:rsidRPr="00C642B8">
        <w:rPr>
          <w:b/>
          <w:color w:val="auto"/>
        </w:rPr>
        <w:t>3.000.000,- Kč bez DPH.</w:t>
      </w:r>
      <w:r w:rsidRPr="00C642B8">
        <w:rPr>
          <w:color w:val="auto"/>
        </w:rPr>
        <w:t xml:space="preserve"> </w:t>
      </w:r>
    </w:p>
    <w:p w:rsidR="00C642B8" w:rsidRPr="00C642B8" w:rsidRDefault="00C642B8" w:rsidP="00C642B8">
      <w:pPr>
        <w:spacing w:after="263" w:line="248" w:lineRule="auto"/>
        <w:ind w:left="-5" w:hanging="10"/>
        <w:jc w:val="both"/>
        <w:rPr>
          <w:color w:val="auto"/>
        </w:rPr>
      </w:pPr>
      <w:r w:rsidRPr="00C642B8">
        <w:rPr>
          <w:color w:val="auto"/>
        </w:rPr>
        <w:t xml:space="preserve">Celková předpokládaná hodnota veřejné zakázky včetně předpokládané hodnoty vyhrazeného plnění podle § 100 odst. 3 zákona činí pro variantu 2) na dobu 3 let </w:t>
      </w:r>
      <w:r w:rsidRPr="00C642B8">
        <w:rPr>
          <w:b/>
          <w:color w:val="auto"/>
        </w:rPr>
        <w:t>1</w:t>
      </w:r>
      <w:r w:rsidR="004F0D3D">
        <w:rPr>
          <w:b/>
          <w:color w:val="auto"/>
        </w:rPr>
        <w:t>53</w:t>
      </w:r>
      <w:r w:rsidRPr="00C642B8">
        <w:rPr>
          <w:b/>
          <w:color w:val="auto"/>
        </w:rPr>
        <w:t>.000.000,- Kč bez DPH.</w:t>
      </w:r>
      <w:r w:rsidRPr="00C642B8">
        <w:rPr>
          <w:color w:val="auto"/>
        </w:rPr>
        <w:t xml:space="preserve"> </w:t>
      </w:r>
    </w:p>
    <w:p w:rsidR="00C642B8" w:rsidRPr="00C642B8" w:rsidRDefault="00C642B8" w:rsidP="00C642B8">
      <w:pPr>
        <w:spacing w:after="263" w:line="248" w:lineRule="auto"/>
        <w:ind w:left="-5" w:hanging="10"/>
        <w:jc w:val="both"/>
        <w:rPr>
          <w:color w:val="auto"/>
        </w:rPr>
      </w:pPr>
      <w:r w:rsidRPr="00C642B8">
        <w:rPr>
          <w:color w:val="auto"/>
        </w:rPr>
        <w:t xml:space="preserve">Předpokládaná hodnota veřejné zakázky stanovená zadavatelem podle § 16 a násl. zákona ve spojení s § 21 odst. 1 písm. b) zákona činí </w:t>
      </w:r>
      <w:r w:rsidRPr="00C642B8">
        <w:rPr>
          <w:b/>
          <w:color w:val="auto"/>
        </w:rPr>
        <w:t>pro variantu 3) na dobu 1 roku</w:t>
      </w:r>
      <w:r w:rsidRPr="00C642B8">
        <w:rPr>
          <w:color w:val="auto"/>
        </w:rPr>
        <w:t xml:space="preserve"> </w:t>
      </w:r>
      <w:r w:rsidRPr="00C642B8">
        <w:rPr>
          <w:b/>
          <w:color w:val="auto"/>
        </w:rPr>
        <w:t>50.000.000,- Kč bez DPH</w:t>
      </w:r>
      <w:r w:rsidRPr="00C642B8">
        <w:rPr>
          <w:color w:val="auto"/>
        </w:rPr>
        <w:t xml:space="preserve">. </w:t>
      </w:r>
    </w:p>
    <w:p w:rsidR="00C642B8" w:rsidRPr="00C642B8" w:rsidRDefault="00C642B8" w:rsidP="00C642B8">
      <w:pPr>
        <w:spacing w:after="263" w:line="248" w:lineRule="auto"/>
        <w:ind w:left="-5" w:hanging="10"/>
        <w:jc w:val="both"/>
        <w:rPr>
          <w:color w:val="auto"/>
        </w:rPr>
      </w:pPr>
      <w:r w:rsidRPr="00C642B8">
        <w:rPr>
          <w:color w:val="auto"/>
        </w:rPr>
        <w:t xml:space="preserve">Předpokládaná hodnota vyhrazeného plnění podle § 100 odst. 3 zákona činí </w:t>
      </w:r>
      <w:r w:rsidRPr="00C642B8">
        <w:rPr>
          <w:b/>
          <w:color w:val="auto"/>
        </w:rPr>
        <w:t>1.000.000,- Kč bez DPH.</w:t>
      </w:r>
      <w:r w:rsidRPr="00C642B8">
        <w:rPr>
          <w:color w:val="auto"/>
        </w:rPr>
        <w:t xml:space="preserve"> </w:t>
      </w:r>
    </w:p>
    <w:p w:rsidR="00C642B8" w:rsidRPr="00C642B8" w:rsidRDefault="00C642B8" w:rsidP="00C642B8">
      <w:pPr>
        <w:spacing w:after="263" w:line="248" w:lineRule="auto"/>
        <w:ind w:left="-5" w:hanging="10"/>
        <w:jc w:val="both"/>
        <w:rPr>
          <w:color w:val="auto"/>
        </w:rPr>
      </w:pPr>
      <w:r w:rsidRPr="00C642B8">
        <w:rPr>
          <w:color w:val="auto"/>
        </w:rPr>
        <w:t xml:space="preserve">Celková předpokládaná hodnota veřejné zakázky včetně předpokládané hodnoty vyhrazeného plnění podle § 100 odst. 3 zákona činí pro variantu 3) na dobu 1 roku </w:t>
      </w:r>
      <w:r w:rsidRPr="00C642B8">
        <w:rPr>
          <w:b/>
          <w:color w:val="auto"/>
        </w:rPr>
        <w:t>51.000.000,- Kč bez DPH.</w:t>
      </w:r>
      <w:r w:rsidRPr="00C642B8">
        <w:rPr>
          <w:color w:val="auto"/>
        </w:rPr>
        <w:t xml:space="preserve"> </w:t>
      </w:r>
    </w:p>
    <w:p w:rsidR="00C26380" w:rsidRPr="00C642B8" w:rsidRDefault="00455A63">
      <w:pPr>
        <w:spacing w:after="352" w:line="248" w:lineRule="auto"/>
        <w:ind w:left="-5" w:hanging="10"/>
        <w:jc w:val="both"/>
        <w:rPr>
          <w:color w:val="auto"/>
        </w:rPr>
      </w:pPr>
      <w:r w:rsidRPr="00C642B8">
        <w:rPr>
          <w:color w:val="auto"/>
        </w:rPr>
        <w:t xml:space="preserve">Předpokládaná hodnota </w:t>
      </w:r>
      <w:r w:rsidR="00C642B8">
        <w:rPr>
          <w:color w:val="auto"/>
        </w:rPr>
        <w:t xml:space="preserve">vždy </w:t>
      </w:r>
      <w:r w:rsidRPr="00C642B8">
        <w:rPr>
          <w:color w:val="auto"/>
        </w:rPr>
        <w:t xml:space="preserve">zahrnuje v souladu s § 21 odst. 2 písm. a) zákona provizi pojišťovacího makléře. </w:t>
      </w:r>
    </w:p>
    <w:p w:rsidR="00C26380" w:rsidRDefault="00595D2F">
      <w:pPr>
        <w:pStyle w:val="Nadpis1"/>
        <w:ind w:left="-5"/>
      </w:pPr>
      <w:r>
        <w:t xml:space="preserve">2.4 </w:t>
      </w:r>
      <w:r w:rsidR="00455A63">
        <w:t>Ostatní podmínky</w:t>
      </w:r>
      <w:r w:rsidR="00455A63">
        <w:rPr>
          <w:u w:val="none"/>
        </w:rPr>
        <w:t xml:space="preserve"> </w:t>
      </w:r>
    </w:p>
    <w:p w:rsidR="00C26380" w:rsidRDefault="00455A63">
      <w:pPr>
        <w:spacing w:after="207" w:line="248" w:lineRule="auto"/>
        <w:ind w:left="-5" w:hanging="10"/>
        <w:jc w:val="both"/>
        <w:rPr>
          <w:b/>
        </w:rPr>
      </w:pPr>
      <w:r>
        <w:t>Zadavatel nepřipouští podmiňovat nabídku jakýmikoli jinými podmínkami, než jsou stanoveny v zadávacích podmínkách.</w:t>
      </w:r>
      <w:r>
        <w:rPr>
          <w:b/>
        </w:rPr>
        <w:t xml:space="preserve"> </w:t>
      </w:r>
    </w:p>
    <w:p w:rsidR="00E95A06" w:rsidRPr="00C642B8" w:rsidRDefault="00E95A06">
      <w:pPr>
        <w:spacing w:after="207" w:line="248" w:lineRule="auto"/>
        <w:ind w:left="-5" w:hanging="10"/>
        <w:jc w:val="both"/>
        <w:rPr>
          <w:b/>
          <w:color w:val="auto"/>
        </w:rPr>
      </w:pPr>
      <w:r w:rsidRPr="00C642B8">
        <w:rPr>
          <w:b/>
          <w:color w:val="auto"/>
        </w:rPr>
        <w:lastRenderedPageBreak/>
        <w:t xml:space="preserve">Obchodní podmínky (rozsahy </w:t>
      </w:r>
      <w:r w:rsidR="007B76C3" w:rsidRPr="00C642B8">
        <w:rPr>
          <w:b/>
          <w:color w:val="auto"/>
        </w:rPr>
        <w:t>pojištění) bud</w:t>
      </w:r>
      <w:r w:rsidR="00420452">
        <w:rPr>
          <w:b/>
          <w:color w:val="auto"/>
        </w:rPr>
        <w:t>ou</w:t>
      </w:r>
      <w:r w:rsidR="007B76C3" w:rsidRPr="00C642B8">
        <w:rPr>
          <w:b/>
          <w:color w:val="auto"/>
        </w:rPr>
        <w:t xml:space="preserve"> </w:t>
      </w:r>
      <w:r w:rsidR="001C30C5">
        <w:rPr>
          <w:b/>
          <w:color w:val="auto"/>
        </w:rPr>
        <w:t>dodavateli</w:t>
      </w:r>
      <w:r w:rsidR="007B76C3" w:rsidRPr="00C642B8">
        <w:rPr>
          <w:b/>
          <w:color w:val="auto"/>
        </w:rPr>
        <w:t xml:space="preserve"> předány</w:t>
      </w:r>
      <w:r w:rsidRPr="00C642B8">
        <w:rPr>
          <w:b/>
          <w:color w:val="auto"/>
        </w:rPr>
        <w:t xml:space="preserve"> po splnění</w:t>
      </w:r>
      <w:r w:rsidR="001C30C5">
        <w:rPr>
          <w:b/>
          <w:color w:val="auto"/>
        </w:rPr>
        <w:t xml:space="preserve"> požadované kvalifikace dodavatele</w:t>
      </w:r>
      <w:r w:rsidRPr="00C642B8">
        <w:rPr>
          <w:b/>
          <w:color w:val="auto"/>
        </w:rPr>
        <w:t>.</w:t>
      </w:r>
    </w:p>
    <w:p w:rsidR="00F866B2" w:rsidRDefault="00F866B2" w:rsidP="00F866B2">
      <w:pPr>
        <w:spacing w:after="207" w:line="248" w:lineRule="auto"/>
        <w:ind w:left="-5" w:hanging="10"/>
        <w:jc w:val="both"/>
      </w:pPr>
    </w:p>
    <w:tbl>
      <w:tblPr>
        <w:tblStyle w:val="TableGrid"/>
        <w:tblW w:w="9300" w:type="dxa"/>
        <w:tblInd w:w="-113" w:type="dxa"/>
        <w:tblCellMar>
          <w:top w:w="71" w:type="dxa"/>
          <w:right w:w="115" w:type="dxa"/>
        </w:tblCellMar>
        <w:tblLook w:val="04A0" w:firstRow="1" w:lastRow="0" w:firstColumn="1" w:lastColumn="0" w:noHBand="0" w:noVBand="1"/>
      </w:tblPr>
      <w:tblGrid>
        <w:gridCol w:w="821"/>
        <w:gridCol w:w="8479"/>
      </w:tblGrid>
      <w:tr w:rsidR="00F866B2" w:rsidTr="00D13A68">
        <w:trPr>
          <w:trHeight w:val="391"/>
        </w:trPr>
        <w:tc>
          <w:tcPr>
            <w:tcW w:w="821" w:type="dxa"/>
            <w:tcBorders>
              <w:top w:val="single" w:sz="4" w:space="0" w:color="000000"/>
              <w:left w:val="single" w:sz="4" w:space="0" w:color="000000"/>
              <w:bottom w:val="single" w:sz="4" w:space="0" w:color="000000"/>
              <w:right w:val="nil"/>
            </w:tcBorders>
          </w:tcPr>
          <w:p w:rsidR="00F866B2" w:rsidRDefault="00F866B2" w:rsidP="00D13A68">
            <w:pPr>
              <w:ind w:left="113"/>
            </w:pPr>
            <w:r>
              <w:rPr>
                <w:b/>
                <w:sz w:val="28"/>
              </w:rPr>
              <w:t>3.</w:t>
            </w:r>
            <w:r>
              <w:rPr>
                <w:rFonts w:ascii="Arial" w:eastAsia="Arial" w:hAnsi="Arial" w:cs="Arial"/>
                <w:b/>
                <w:sz w:val="28"/>
              </w:rPr>
              <w:t xml:space="preserve"> </w:t>
            </w:r>
          </w:p>
        </w:tc>
        <w:tc>
          <w:tcPr>
            <w:tcW w:w="8478" w:type="dxa"/>
            <w:tcBorders>
              <w:top w:val="single" w:sz="4" w:space="0" w:color="000000"/>
              <w:left w:val="nil"/>
              <w:bottom w:val="single" w:sz="4" w:space="0" w:color="000000"/>
              <w:right w:val="single" w:sz="4" w:space="0" w:color="000000"/>
            </w:tcBorders>
          </w:tcPr>
          <w:p w:rsidR="00F866B2" w:rsidRDefault="00F866B2" w:rsidP="00D13A68">
            <w:r>
              <w:rPr>
                <w:b/>
                <w:sz w:val="28"/>
              </w:rPr>
              <w:t>Doba a místo plnění veřejné zakázky</w:t>
            </w:r>
          </w:p>
        </w:tc>
      </w:tr>
    </w:tbl>
    <w:p w:rsidR="00F866B2" w:rsidRDefault="00F866B2">
      <w:pPr>
        <w:spacing w:after="207" w:line="248" w:lineRule="auto"/>
        <w:ind w:left="-5" w:hanging="10"/>
        <w:jc w:val="both"/>
        <w:rPr>
          <w:b/>
        </w:rPr>
      </w:pPr>
    </w:p>
    <w:p w:rsidR="00E95A06" w:rsidRDefault="00F866B2" w:rsidP="003E1473">
      <w:pPr>
        <w:spacing w:after="207" w:line="248" w:lineRule="auto"/>
        <w:ind w:left="-5" w:hanging="10"/>
        <w:jc w:val="both"/>
      </w:pPr>
      <w:r w:rsidRPr="00595D2F">
        <w:rPr>
          <w:b/>
        </w:rPr>
        <w:t>3.1</w:t>
      </w:r>
      <w:r>
        <w:t xml:space="preserve"> Doba a místo plnění jsou stanoveny v obchodních podmínkách.</w:t>
      </w:r>
    </w:p>
    <w:p w:rsidR="00C642B8" w:rsidRPr="00C642B8" w:rsidRDefault="00F866B2" w:rsidP="009F31BC">
      <w:pPr>
        <w:spacing w:after="207" w:line="248" w:lineRule="auto"/>
        <w:jc w:val="both"/>
        <w:rPr>
          <w:color w:val="auto"/>
        </w:rPr>
      </w:pPr>
      <w:r w:rsidRPr="00595D2F">
        <w:rPr>
          <w:b/>
          <w:color w:val="auto"/>
        </w:rPr>
        <w:t>3.2</w:t>
      </w:r>
      <w:r w:rsidR="009F31BC" w:rsidRPr="00C642B8">
        <w:rPr>
          <w:color w:val="auto"/>
        </w:rPr>
        <w:t xml:space="preserve"> </w:t>
      </w:r>
      <w:r w:rsidR="00C642B8" w:rsidRPr="00C642B8">
        <w:rPr>
          <w:color w:val="auto"/>
        </w:rPr>
        <w:t>Počátek a konec pojištění je ve třech variantách:</w:t>
      </w:r>
    </w:p>
    <w:p w:rsidR="00F866B2" w:rsidRPr="00C642B8" w:rsidRDefault="00C642B8" w:rsidP="009F31BC">
      <w:pPr>
        <w:spacing w:after="207" w:line="248" w:lineRule="auto"/>
        <w:jc w:val="both"/>
        <w:rPr>
          <w:color w:val="auto"/>
        </w:rPr>
      </w:pPr>
      <w:r w:rsidRPr="00C642B8">
        <w:rPr>
          <w:color w:val="auto"/>
        </w:rPr>
        <w:t>Varianta 1</w:t>
      </w:r>
      <w:proofErr w:type="gramStart"/>
      <w:r w:rsidRPr="00C642B8">
        <w:rPr>
          <w:color w:val="auto"/>
        </w:rPr>
        <w:t xml:space="preserve">) </w:t>
      </w:r>
      <w:r w:rsidR="009F31BC" w:rsidRPr="00C642B8">
        <w:rPr>
          <w:color w:val="auto"/>
        </w:rPr>
        <w:t xml:space="preserve"> od</w:t>
      </w:r>
      <w:proofErr w:type="gramEnd"/>
      <w:r w:rsidR="009F31BC" w:rsidRPr="00C642B8">
        <w:rPr>
          <w:color w:val="auto"/>
        </w:rPr>
        <w:t xml:space="preserve"> 01.01.2019 do 31.12.2023</w:t>
      </w:r>
    </w:p>
    <w:p w:rsidR="00C642B8" w:rsidRPr="00C642B8" w:rsidRDefault="00C642B8" w:rsidP="00C642B8">
      <w:pPr>
        <w:spacing w:after="207" w:line="248" w:lineRule="auto"/>
        <w:jc w:val="both"/>
        <w:rPr>
          <w:color w:val="auto"/>
        </w:rPr>
      </w:pPr>
      <w:r w:rsidRPr="00C642B8">
        <w:rPr>
          <w:color w:val="auto"/>
        </w:rPr>
        <w:t>Varianta 2</w:t>
      </w:r>
      <w:proofErr w:type="gramStart"/>
      <w:r w:rsidRPr="00C642B8">
        <w:rPr>
          <w:color w:val="auto"/>
        </w:rPr>
        <w:t>)  od</w:t>
      </w:r>
      <w:proofErr w:type="gramEnd"/>
      <w:r w:rsidRPr="00C642B8">
        <w:rPr>
          <w:color w:val="auto"/>
        </w:rPr>
        <w:t xml:space="preserve"> 01.01.2019 do 31.12.2021</w:t>
      </w:r>
    </w:p>
    <w:p w:rsidR="00C642B8" w:rsidRPr="00C642B8" w:rsidRDefault="00C642B8" w:rsidP="00C642B8">
      <w:pPr>
        <w:spacing w:after="207" w:line="248" w:lineRule="auto"/>
        <w:jc w:val="both"/>
        <w:rPr>
          <w:color w:val="auto"/>
        </w:rPr>
      </w:pPr>
      <w:r w:rsidRPr="00C642B8">
        <w:rPr>
          <w:color w:val="auto"/>
        </w:rPr>
        <w:t>Varianta 3</w:t>
      </w:r>
      <w:proofErr w:type="gramStart"/>
      <w:r w:rsidRPr="00C642B8">
        <w:rPr>
          <w:color w:val="auto"/>
        </w:rPr>
        <w:t>)  od</w:t>
      </w:r>
      <w:proofErr w:type="gramEnd"/>
      <w:r w:rsidRPr="00C642B8">
        <w:rPr>
          <w:color w:val="auto"/>
        </w:rPr>
        <w:t xml:space="preserve"> 01.01.2019 do 31.12.2019</w:t>
      </w:r>
    </w:p>
    <w:p w:rsidR="00F866B2" w:rsidRDefault="00F866B2" w:rsidP="009F31BC">
      <w:pPr>
        <w:spacing w:after="207" w:line="248" w:lineRule="auto"/>
        <w:jc w:val="both"/>
      </w:pPr>
    </w:p>
    <w:tbl>
      <w:tblPr>
        <w:tblStyle w:val="TableGrid"/>
        <w:tblW w:w="9300" w:type="dxa"/>
        <w:tblInd w:w="-113" w:type="dxa"/>
        <w:tblCellMar>
          <w:top w:w="71" w:type="dxa"/>
          <w:bottom w:w="25" w:type="dxa"/>
          <w:right w:w="64" w:type="dxa"/>
        </w:tblCellMar>
        <w:tblLook w:val="04A0" w:firstRow="1" w:lastRow="0" w:firstColumn="1" w:lastColumn="0" w:noHBand="0" w:noVBand="1"/>
      </w:tblPr>
      <w:tblGrid>
        <w:gridCol w:w="821"/>
        <w:gridCol w:w="8479"/>
      </w:tblGrid>
      <w:tr w:rsidR="00C26380" w:rsidTr="009F31BC">
        <w:trPr>
          <w:trHeight w:val="394"/>
        </w:trPr>
        <w:tc>
          <w:tcPr>
            <w:tcW w:w="821" w:type="dxa"/>
            <w:tcBorders>
              <w:top w:val="single" w:sz="4" w:space="0" w:color="000000"/>
              <w:left w:val="single" w:sz="4" w:space="0" w:color="000000"/>
              <w:bottom w:val="single" w:sz="4" w:space="0" w:color="000000"/>
              <w:right w:val="nil"/>
            </w:tcBorders>
          </w:tcPr>
          <w:p w:rsidR="00C26380" w:rsidRDefault="009F31BC">
            <w:pPr>
              <w:ind w:left="113"/>
            </w:pPr>
            <w:r>
              <w:rPr>
                <w:b/>
                <w:sz w:val="28"/>
              </w:rPr>
              <w:t>4</w:t>
            </w:r>
            <w:r w:rsidR="00455A63">
              <w:rPr>
                <w:b/>
                <w:sz w:val="28"/>
              </w:rPr>
              <w:t>.</w:t>
            </w:r>
            <w:r w:rsidR="00455A63">
              <w:rPr>
                <w:rFonts w:ascii="Arial" w:eastAsia="Arial" w:hAnsi="Arial" w:cs="Arial"/>
                <w:b/>
                <w:sz w:val="28"/>
              </w:rPr>
              <w:t xml:space="preserve"> </w:t>
            </w:r>
          </w:p>
        </w:tc>
        <w:tc>
          <w:tcPr>
            <w:tcW w:w="8479" w:type="dxa"/>
            <w:tcBorders>
              <w:top w:val="single" w:sz="4" w:space="0" w:color="000000"/>
              <w:left w:val="nil"/>
              <w:bottom w:val="single" w:sz="4" w:space="0" w:color="000000"/>
              <w:right w:val="single" w:sz="4" w:space="0" w:color="000000"/>
            </w:tcBorders>
          </w:tcPr>
          <w:p w:rsidR="00C26380" w:rsidRDefault="00455A63">
            <w:r>
              <w:rPr>
                <w:b/>
                <w:sz w:val="28"/>
              </w:rPr>
              <w:t xml:space="preserve">Požadavky na prokázání kvalifikace </w:t>
            </w:r>
          </w:p>
        </w:tc>
      </w:tr>
    </w:tbl>
    <w:p w:rsidR="00C26380" w:rsidRDefault="00C26380">
      <w:pPr>
        <w:spacing w:after="207" w:line="248" w:lineRule="auto"/>
        <w:ind w:left="-5" w:hanging="10"/>
        <w:jc w:val="both"/>
      </w:pPr>
    </w:p>
    <w:p w:rsidR="00FD0360" w:rsidRPr="00FD0360" w:rsidRDefault="00FD0360" w:rsidP="00254299">
      <w:pPr>
        <w:pStyle w:val="Odstavecseseznamem"/>
        <w:numPr>
          <w:ilvl w:val="1"/>
          <w:numId w:val="30"/>
        </w:numPr>
        <w:tabs>
          <w:tab w:val="left" w:pos="426"/>
        </w:tabs>
        <w:autoSpaceDE w:val="0"/>
        <w:autoSpaceDN w:val="0"/>
        <w:spacing w:after="120" w:line="240" w:lineRule="auto"/>
        <w:jc w:val="both"/>
      </w:pPr>
      <w:r w:rsidRPr="00FD0360">
        <w:rPr>
          <w:b/>
          <w:u w:val="single"/>
        </w:rPr>
        <w:t>Základní způsobilost</w:t>
      </w:r>
    </w:p>
    <w:p w:rsidR="00FD0360" w:rsidRPr="00FD0360" w:rsidRDefault="00FD0360" w:rsidP="00FD0360">
      <w:pPr>
        <w:tabs>
          <w:tab w:val="left" w:pos="426"/>
        </w:tabs>
        <w:spacing w:after="120"/>
        <w:jc w:val="both"/>
      </w:pPr>
      <w:r w:rsidRPr="00FD0360">
        <w:t>Dodavatel je povinen splnit základní způsobilost v souladu s </w:t>
      </w:r>
      <w:proofErr w:type="spellStart"/>
      <w:r w:rsidRPr="00FD0360">
        <w:t>ust</w:t>
      </w:r>
      <w:proofErr w:type="spellEnd"/>
      <w:r w:rsidRPr="00FD0360">
        <w:t>. § 74 ZVZZ.</w:t>
      </w:r>
    </w:p>
    <w:p w:rsidR="00FD0360" w:rsidRPr="00FD0360" w:rsidRDefault="00FD0360" w:rsidP="00254299">
      <w:pPr>
        <w:pStyle w:val="Odstavecseseznamem"/>
        <w:numPr>
          <w:ilvl w:val="1"/>
          <w:numId w:val="30"/>
        </w:numPr>
        <w:tabs>
          <w:tab w:val="left" w:pos="426"/>
        </w:tabs>
        <w:autoSpaceDE w:val="0"/>
        <w:autoSpaceDN w:val="0"/>
        <w:spacing w:after="120" w:line="240" w:lineRule="auto"/>
        <w:jc w:val="both"/>
      </w:pPr>
      <w:r w:rsidRPr="00FD0360">
        <w:rPr>
          <w:b/>
          <w:u w:val="single"/>
        </w:rPr>
        <w:t>Profesní způsobilost</w:t>
      </w:r>
    </w:p>
    <w:p w:rsidR="00FD0360" w:rsidRPr="00FD0360" w:rsidRDefault="00FD0360" w:rsidP="00FD0360">
      <w:pPr>
        <w:pStyle w:val="Textpsmene"/>
        <w:numPr>
          <w:ilvl w:val="0"/>
          <w:numId w:val="0"/>
        </w:numPr>
        <w:rPr>
          <w:rFonts w:ascii="Calibri" w:hAnsi="Calibri"/>
          <w:sz w:val="22"/>
          <w:szCs w:val="22"/>
        </w:rPr>
      </w:pPr>
      <w:r>
        <w:rPr>
          <w:rFonts w:ascii="Calibri" w:hAnsi="Calibri"/>
          <w:sz w:val="22"/>
          <w:szCs w:val="22"/>
        </w:rPr>
        <w:t xml:space="preserve">Dodavatel je povinen splnit </w:t>
      </w:r>
      <w:r w:rsidRPr="00FD0360">
        <w:rPr>
          <w:rFonts w:ascii="Calibri" w:hAnsi="Calibri"/>
          <w:sz w:val="22"/>
          <w:szCs w:val="22"/>
        </w:rPr>
        <w:t>profesní způsobilost v souladu s </w:t>
      </w:r>
      <w:proofErr w:type="spellStart"/>
      <w:r w:rsidRPr="00FD0360">
        <w:rPr>
          <w:rFonts w:ascii="Calibri" w:hAnsi="Calibri"/>
          <w:sz w:val="22"/>
          <w:szCs w:val="22"/>
        </w:rPr>
        <w:t>ust</w:t>
      </w:r>
      <w:proofErr w:type="spellEnd"/>
      <w:r w:rsidRPr="00FD0360">
        <w:rPr>
          <w:rFonts w:ascii="Calibri" w:hAnsi="Calibri"/>
          <w:sz w:val="22"/>
          <w:szCs w:val="22"/>
        </w:rPr>
        <w:t>. § 77 odst. 1  ZVZZ.</w:t>
      </w:r>
    </w:p>
    <w:p w:rsidR="00FD0360" w:rsidRPr="00FD0360" w:rsidRDefault="00FD0360" w:rsidP="00FD0360">
      <w:pPr>
        <w:tabs>
          <w:tab w:val="left" w:pos="426"/>
        </w:tabs>
        <w:spacing w:after="120"/>
        <w:jc w:val="both"/>
      </w:pPr>
      <w:r w:rsidRPr="00FD0360">
        <w:t>Zadavatel dále požaduje, aby dodavatel splnil profesní způsobilost v souladu s </w:t>
      </w:r>
      <w:proofErr w:type="spellStart"/>
      <w:r w:rsidRPr="00FD0360">
        <w:t>ust</w:t>
      </w:r>
      <w:proofErr w:type="spellEnd"/>
      <w:r w:rsidRPr="00FD0360">
        <w:t>. § 77 odst. 2 ZVZZ.</w:t>
      </w:r>
    </w:p>
    <w:p w:rsidR="00FD0360" w:rsidRPr="00FD0360" w:rsidRDefault="00FD0360" w:rsidP="00FD0360">
      <w:pPr>
        <w:pStyle w:val="Textodstavce"/>
        <w:numPr>
          <w:ilvl w:val="0"/>
          <w:numId w:val="0"/>
        </w:numPr>
        <w:rPr>
          <w:rFonts w:ascii="Calibri" w:hAnsi="Calibri"/>
          <w:sz w:val="22"/>
          <w:szCs w:val="22"/>
        </w:rPr>
      </w:pPr>
      <w:r w:rsidRPr="00FD0360">
        <w:rPr>
          <w:rFonts w:ascii="Calibri" w:hAnsi="Calibri"/>
          <w:sz w:val="22"/>
          <w:szCs w:val="22"/>
        </w:rPr>
        <w:t>Dodavatel prokazuje splnění profesní způsobilosti ve vztahu k České republice předložením:</w:t>
      </w:r>
    </w:p>
    <w:p w:rsidR="00FD0360" w:rsidRPr="00FD0360" w:rsidRDefault="00FD0360" w:rsidP="00FD0360">
      <w:pPr>
        <w:jc w:val="both"/>
      </w:pPr>
      <w:r w:rsidRPr="00FD0360">
        <w:t xml:space="preserve">Dokladu o oprávnění k podnikání </w:t>
      </w:r>
      <w:r w:rsidR="001C30C5">
        <w:t>v rozsahu odpovídajícímu předmětu veřejné zakázky, pokud jiné právní předpisy takové oprávnění vyžadují, a to:</w:t>
      </w:r>
      <w:r w:rsidRPr="00FD0360">
        <w:t xml:space="preserve"> </w:t>
      </w:r>
    </w:p>
    <w:p w:rsidR="00FD0360" w:rsidRPr="00FD0360" w:rsidRDefault="00FD0360" w:rsidP="00254299">
      <w:pPr>
        <w:numPr>
          <w:ilvl w:val="0"/>
          <w:numId w:val="28"/>
        </w:numPr>
        <w:tabs>
          <w:tab w:val="clear" w:pos="360"/>
          <w:tab w:val="num" w:pos="540"/>
        </w:tabs>
        <w:spacing w:after="0" w:line="240" w:lineRule="auto"/>
        <w:ind w:left="0" w:firstLine="0"/>
        <w:jc w:val="both"/>
        <w:rPr>
          <w:b/>
        </w:rPr>
      </w:pPr>
      <w:r w:rsidRPr="00FD0360">
        <w:t>certifikát nebo osvědčení o členství účastník zadávacího řízení v profesní organizaci pojišťoven v zemi sídla nebo bydliště účastník zadávacího řízení v rámci EU,</w:t>
      </w:r>
    </w:p>
    <w:p w:rsidR="00FD0360" w:rsidRPr="00FD0360" w:rsidRDefault="00FD0360" w:rsidP="00254299">
      <w:pPr>
        <w:pStyle w:val="Zkladntextodsazen2"/>
        <w:numPr>
          <w:ilvl w:val="0"/>
          <w:numId w:val="29"/>
        </w:numPr>
        <w:tabs>
          <w:tab w:val="clear" w:pos="360"/>
          <w:tab w:val="num" w:pos="540"/>
        </w:tabs>
        <w:autoSpaceDE/>
        <w:autoSpaceDN/>
        <w:spacing w:after="0" w:line="240" w:lineRule="auto"/>
        <w:ind w:left="0" w:firstLine="0"/>
        <w:jc w:val="both"/>
        <w:rPr>
          <w:rFonts w:ascii="Calibri" w:hAnsi="Calibri"/>
          <w:sz w:val="22"/>
          <w:szCs w:val="22"/>
        </w:rPr>
      </w:pPr>
      <w:r w:rsidRPr="00FD0360">
        <w:rPr>
          <w:rFonts w:ascii="Calibri" w:hAnsi="Calibri"/>
          <w:sz w:val="22"/>
          <w:szCs w:val="22"/>
        </w:rPr>
        <w:t xml:space="preserve">povolení Ministerstva financí ČR k provozování pojišťovací činnosti pro pojistné odvětví neživotního pojištění dle zákona č. 39/2004 Sb. </w:t>
      </w:r>
    </w:p>
    <w:p w:rsidR="00FD0360" w:rsidRPr="00FD0360" w:rsidRDefault="00FD0360" w:rsidP="00FD0360">
      <w:pPr>
        <w:pStyle w:val="Zkladntextodsazen2"/>
        <w:autoSpaceDE/>
        <w:autoSpaceDN/>
        <w:spacing w:after="0" w:line="240" w:lineRule="auto"/>
        <w:ind w:left="0"/>
        <w:jc w:val="both"/>
        <w:rPr>
          <w:rFonts w:ascii="Calibri" w:hAnsi="Calibri"/>
          <w:sz w:val="22"/>
          <w:szCs w:val="22"/>
        </w:rPr>
      </w:pPr>
    </w:p>
    <w:p w:rsidR="00FD0360" w:rsidRPr="00FD0360" w:rsidRDefault="00FD0360" w:rsidP="00254299">
      <w:pPr>
        <w:pStyle w:val="Odstavecseseznamem"/>
        <w:numPr>
          <w:ilvl w:val="1"/>
          <w:numId w:val="30"/>
        </w:numPr>
        <w:tabs>
          <w:tab w:val="left" w:pos="426"/>
        </w:tabs>
        <w:autoSpaceDE w:val="0"/>
        <w:autoSpaceDN w:val="0"/>
        <w:spacing w:after="120" w:line="240" w:lineRule="auto"/>
        <w:jc w:val="both"/>
      </w:pPr>
      <w:r w:rsidRPr="00FD0360">
        <w:rPr>
          <w:b/>
          <w:u w:val="single"/>
        </w:rPr>
        <w:t>Ekonomická kvalifikace</w:t>
      </w:r>
    </w:p>
    <w:p w:rsidR="00FD0360" w:rsidRPr="00FD0360" w:rsidRDefault="00FD0360" w:rsidP="00FD0360">
      <w:pPr>
        <w:pStyle w:val="Textodstavce"/>
        <w:numPr>
          <w:ilvl w:val="0"/>
          <w:numId w:val="0"/>
        </w:numPr>
        <w:rPr>
          <w:rFonts w:ascii="Calibri" w:hAnsi="Calibri"/>
          <w:sz w:val="22"/>
          <w:szCs w:val="22"/>
        </w:rPr>
      </w:pPr>
      <w:r w:rsidRPr="00FD0360">
        <w:rPr>
          <w:rFonts w:ascii="Calibri" w:hAnsi="Calibri"/>
          <w:sz w:val="22"/>
          <w:szCs w:val="22"/>
        </w:rPr>
        <w:t>Zadavatel nepožaduje</w:t>
      </w:r>
      <w:r>
        <w:rPr>
          <w:rFonts w:ascii="Calibri" w:hAnsi="Calibri"/>
          <w:sz w:val="22"/>
          <w:szCs w:val="22"/>
        </w:rPr>
        <w:t xml:space="preserve"> </w:t>
      </w:r>
      <w:r w:rsidRPr="00FD0360">
        <w:rPr>
          <w:rFonts w:ascii="Calibri" w:hAnsi="Calibri"/>
          <w:sz w:val="22"/>
          <w:szCs w:val="22"/>
        </w:rPr>
        <w:t>prokázání ekonomické kvalifikace dle § 78 ZZVZ.</w:t>
      </w:r>
    </w:p>
    <w:p w:rsidR="00FD0360" w:rsidRPr="00FD0360" w:rsidRDefault="00FD0360" w:rsidP="00254299">
      <w:pPr>
        <w:pStyle w:val="Odstavecseseznamem"/>
        <w:numPr>
          <w:ilvl w:val="1"/>
          <w:numId w:val="30"/>
        </w:numPr>
        <w:tabs>
          <w:tab w:val="left" w:pos="426"/>
        </w:tabs>
        <w:autoSpaceDE w:val="0"/>
        <w:autoSpaceDN w:val="0"/>
        <w:spacing w:after="120" w:line="240" w:lineRule="auto"/>
        <w:jc w:val="both"/>
      </w:pPr>
      <w:r w:rsidRPr="00FD0360">
        <w:rPr>
          <w:b/>
          <w:u w:val="single"/>
        </w:rPr>
        <w:t>Technická kvalifikace</w:t>
      </w:r>
    </w:p>
    <w:p w:rsidR="00FD1561" w:rsidRPr="00FD1561" w:rsidRDefault="00FD1561" w:rsidP="00FD1561">
      <w:pPr>
        <w:pStyle w:val="Textodstavce"/>
        <w:numPr>
          <w:ilvl w:val="0"/>
          <w:numId w:val="0"/>
        </w:numPr>
        <w:rPr>
          <w:rFonts w:ascii="Calibri" w:hAnsi="Calibri"/>
          <w:sz w:val="22"/>
          <w:szCs w:val="22"/>
        </w:rPr>
      </w:pPr>
      <w:r w:rsidRPr="00FD1561">
        <w:rPr>
          <w:rFonts w:ascii="Calibri" w:hAnsi="Calibri"/>
          <w:sz w:val="22"/>
          <w:szCs w:val="22"/>
        </w:rPr>
        <w:t xml:space="preserve">K prokázání kritérií technické kvalifikace dle § 79 ZZVZ zadavatel požaduje předložení seznamu </w:t>
      </w:r>
      <w:r w:rsidR="00D13A68">
        <w:rPr>
          <w:rFonts w:ascii="Calibri" w:hAnsi="Calibri"/>
          <w:sz w:val="22"/>
          <w:szCs w:val="22"/>
        </w:rPr>
        <w:t xml:space="preserve">dvou </w:t>
      </w:r>
      <w:r w:rsidRPr="00FD1561">
        <w:rPr>
          <w:rFonts w:ascii="Calibri" w:hAnsi="Calibri"/>
          <w:sz w:val="22"/>
          <w:szCs w:val="22"/>
        </w:rPr>
        <w:t xml:space="preserve">významných služeb poskytnutých za poslední 3 roky </w:t>
      </w:r>
      <w:r w:rsidRPr="004A1E48">
        <w:rPr>
          <w:rFonts w:ascii="Calibri" w:hAnsi="Calibri"/>
          <w:sz w:val="22"/>
          <w:szCs w:val="22"/>
        </w:rPr>
        <w:t>před zahájením zadávacího řízení včetně</w:t>
      </w:r>
      <w:r w:rsidRPr="00FD1561">
        <w:rPr>
          <w:rFonts w:ascii="Calibri" w:hAnsi="Calibri"/>
          <w:sz w:val="22"/>
          <w:szCs w:val="22"/>
        </w:rPr>
        <w:t xml:space="preserve"> uvedení ceny a doby jejich poskytnutí a identifikace objednatele; </w:t>
      </w:r>
    </w:p>
    <w:p w:rsidR="00FD1561" w:rsidRDefault="00FD1561" w:rsidP="00FD1561">
      <w:pPr>
        <w:tabs>
          <w:tab w:val="left" w:pos="426"/>
        </w:tabs>
        <w:jc w:val="both"/>
        <w:rPr>
          <w:iCs/>
          <w:color w:val="auto"/>
        </w:rPr>
      </w:pPr>
      <w:r w:rsidRPr="003C38C9">
        <w:rPr>
          <w:iCs/>
          <w:color w:val="auto"/>
        </w:rPr>
        <w:t>Z</w:t>
      </w:r>
      <w:r w:rsidR="00C27BD1">
        <w:rPr>
          <w:iCs/>
          <w:color w:val="auto"/>
        </w:rPr>
        <w:t xml:space="preserve"> čestného prohlášení </w:t>
      </w:r>
      <w:r w:rsidR="00A23E9F">
        <w:rPr>
          <w:iCs/>
          <w:color w:val="auto"/>
        </w:rPr>
        <w:t>významných služeb</w:t>
      </w:r>
      <w:r w:rsidRPr="003C38C9">
        <w:rPr>
          <w:iCs/>
          <w:color w:val="auto"/>
        </w:rPr>
        <w:t xml:space="preserve"> musí jednoznačně vyplývat, že dodavatel v uvedeném období realizoval alespoň dvě významné služby v oblasti pojištění města, obce nebo kraje, které spočívaly v pojištění majetku, kde objem pojišťovaného maje</w:t>
      </w:r>
      <w:r w:rsidR="003C38C9" w:rsidRPr="003C38C9">
        <w:rPr>
          <w:iCs/>
          <w:color w:val="auto"/>
        </w:rPr>
        <w:t>tku činil minimálně 35</w:t>
      </w:r>
      <w:r w:rsidRPr="003C38C9">
        <w:rPr>
          <w:iCs/>
          <w:color w:val="auto"/>
        </w:rPr>
        <w:t xml:space="preserve"> mld. Kč,</w:t>
      </w:r>
      <w:r w:rsidR="003C38C9" w:rsidRPr="003C38C9">
        <w:rPr>
          <w:iCs/>
          <w:color w:val="auto"/>
        </w:rPr>
        <w:t xml:space="preserve"> </w:t>
      </w:r>
      <w:r w:rsidRPr="003C38C9">
        <w:rPr>
          <w:iCs/>
          <w:color w:val="auto"/>
        </w:rPr>
        <w:t>- či ekvivalent v cizí měně (každá z významných služeb).</w:t>
      </w:r>
      <w:r w:rsidR="003C38C9" w:rsidRPr="003C38C9">
        <w:rPr>
          <w:iCs/>
          <w:color w:val="auto"/>
        </w:rPr>
        <w:t xml:space="preserve"> Každá tato služba musela být poskytována minimálně po dobu 24 měsíců.</w:t>
      </w:r>
    </w:p>
    <w:p w:rsidR="00A23E9F" w:rsidRPr="001B7045" w:rsidRDefault="00A23E9F" w:rsidP="00A23E9F">
      <w:pPr>
        <w:tabs>
          <w:tab w:val="left" w:pos="426"/>
        </w:tabs>
        <w:jc w:val="both"/>
        <w:rPr>
          <w:iCs/>
        </w:rPr>
      </w:pPr>
      <w:r>
        <w:rPr>
          <w:iCs/>
        </w:rPr>
        <w:t>Dodavatel může rovněž tuto technickou kvalifikaci splnit i předložením osvědčení příslušného veřejného zadavatele.</w:t>
      </w:r>
    </w:p>
    <w:p w:rsidR="00FD1561" w:rsidRPr="00FD1561" w:rsidRDefault="00FD1561" w:rsidP="00FD1561">
      <w:pPr>
        <w:pStyle w:val="Odstavecseseznamem"/>
        <w:tabs>
          <w:tab w:val="left" w:pos="426"/>
        </w:tabs>
        <w:ind w:left="360"/>
        <w:jc w:val="both"/>
        <w:rPr>
          <w:b/>
          <w:iCs/>
        </w:rPr>
      </w:pPr>
    </w:p>
    <w:p w:rsidR="00FD1561" w:rsidRDefault="00FD1561" w:rsidP="00FD1561">
      <w:pPr>
        <w:spacing w:after="200"/>
        <w:jc w:val="both"/>
        <w:rPr>
          <w:b/>
        </w:rPr>
      </w:pPr>
      <w:r w:rsidRPr="00FD1561">
        <w:rPr>
          <w:b/>
          <w:u w:val="single"/>
        </w:rPr>
        <w:t>Technické kvalifikační předpoklady se vztahují pouze pro část a)</w:t>
      </w:r>
      <w:r w:rsidRPr="00FD1561">
        <w:t xml:space="preserve"> Poj</w:t>
      </w:r>
      <w:r>
        <w:t>ištění</w:t>
      </w:r>
      <w:r w:rsidRPr="00044603">
        <w:rPr>
          <w:iCs/>
        </w:rPr>
        <w:t xml:space="preserve"> nemovitého, movitého majetku a odpovědnosti za škodu Statutárního města Ostravy vč</w:t>
      </w:r>
      <w:r w:rsidR="00D460CB">
        <w:rPr>
          <w:iCs/>
        </w:rPr>
        <w:t>etně</w:t>
      </w:r>
      <w:r w:rsidRPr="00044603">
        <w:rPr>
          <w:iCs/>
        </w:rPr>
        <w:t xml:space="preserve"> jeho příspěvkovýc</w:t>
      </w:r>
      <w:r>
        <w:rPr>
          <w:iCs/>
        </w:rPr>
        <w:t>h organizací, městských obvodů</w:t>
      </w:r>
      <w:r w:rsidRPr="00044603">
        <w:rPr>
          <w:iCs/>
        </w:rPr>
        <w:t xml:space="preserve"> </w:t>
      </w:r>
      <w:r w:rsidR="00D460CB">
        <w:rPr>
          <w:iCs/>
        </w:rPr>
        <w:t xml:space="preserve">včetně jejich příspěvkových organizací </w:t>
      </w:r>
      <w:r w:rsidRPr="00044603">
        <w:rPr>
          <w:iCs/>
        </w:rPr>
        <w:t>a obchodních společností</w:t>
      </w:r>
      <w:r w:rsidR="000F3DDE">
        <w:rPr>
          <w:iCs/>
        </w:rPr>
        <w:t xml:space="preserve"> se 100 % majetkovou účastí statutárního města Ostravy</w:t>
      </w:r>
      <w:r w:rsidR="00D460CB">
        <w:rPr>
          <w:iCs/>
        </w:rPr>
        <w:t>,</w:t>
      </w:r>
      <w:r w:rsidRPr="00044603">
        <w:rPr>
          <w:iCs/>
        </w:rPr>
        <w:t xml:space="preserve"> včetně pojištění motorových vozidel zahrnující pojištění odpovědnosti za škodu způsobenou provozem vozidla („povinné ručení“) a havarijní pojištění vybraných vozidel.</w:t>
      </w:r>
      <w:r>
        <w:rPr>
          <w:iCs/>
        </w:rPr>
        <w:t xml:space="preserve"> Dále pak </w:t>
      </w:r>
      <w:r>
        <w:t>pojištění odpovědnosti zaměstnanců za újmu způsobenou zaměstnavateli</w:t>
      </w:r>
      <w:r w:rsidRPr="00FD1561">
        <w:t>.</w:t>
      </w:r>
      <w:r w:rsidRPr="00FD1561">
        <w:rPr>
          <w:b/>
        </w:rPr>
        <w:t xml:space="preserve"> </w:t>
      </w:r>
    </w:p>
    <w:p w:rsidR="00FD1561" w:rsidRDefault="00FD1561" w:rsidP="00FD1561">
      <w:pPr>
        <w:spacing w:after="200" w:line="276" w:lineRule="auto"/>
        <w:jc w:val="both"/>
        <w:outlineLvl w:val="1"/>
        <w:rPr>
          <w:iCs/>
        </w:rPr>
      </w:pPr>
      <w:r w:rsidRPr="00FD1561">
        <w:t>Nikoli tedy pro podání</w:t>
      </w:r>
      <w:r>
        <w:t xml:space="preserve"> nabídky na část b) Pojištění </w:t>
      </w:r>
      <w:r>
        <w:rPr>
          <w:iCs/>
        </w:rPr>
        <w:t>odpovědnosti manažerů (D&amp;O) Statutárního města Ostrav</w:t>
      </w:r>
      <w:r w:rsidR="00CA4B4E">
        <w:rPr>
          <w:iCs/>
        </w:rPr>
        <w:t>y, resp. obchodních společností se 100 % majetkovou účastí Statutárního města Ostravy.</w:t>
      </w:r>
      <w:r>
        <w:rPr>
          <w:iCs/>
        </w:rPr>
        <w:t xml:space="preserve"> </w:t>
      </w:r>
    </w:p>
    <w:p w:rsidR="003C38C9" w:rsidRDefault="003C38C9" w:rsidP="00FD1561">
      <w:pPr>
        <w:spacing w:after="200" w:line="276" w:lineRule="auto"/>
        <w:jc w:val="both"/>
        <w:outlineLvl w:val="1"/>
        <w:rPr>
          <w:iCs/>
        </w:rPr>
      </w:pPr>
      <w:r>
        <w:rPr>
          <w:iCs/>
        </w:rPr>
        <w:t>Pro část b) zadavatel nepožaduje předložení technických kvalifikačních předpokladů.</w:t>
      </w:r>
    </w:p>
    <w:p w:rsidR="00FD1561" w:rsidRPr="00FD1561" w:rsidRDefault="00FD1561" w:rsidP="00FD1561">
      <w:pPr>
        <w:spacing w:after="200" w:line="276" w:lineRule="auto"/>
        <w:jc w:val="both"/>
        <w:outlineLvl w:val="1"/>
        <w:rPr>
          <w:u w:val="single"/>
        </w:rPr>
      </w:pPr>
      <w:r w:rsidRPr="00FD1561">
        <w:rPr>
          <w:u w:val="single"/>
        </w:rPr>
        <w:t>Pokud uchazeč předkládá obě části nabídky, postačí doložit dokumenty pro kvalifikaci v jednom vyhotovení pro obě části.</w:t>
      </w:r>
    </w:p>
    <w:p w:rsidR="00FD0360" w:rsidRPr="00FD0360" w:rsidRDefault="00FD0360" w:rsidP="00595D2F">
      <w:pPr>
        <w:pStyle w:val="Odstavecseseznamem"/>
        <w:numPr>
          <w:ilvl w:val="1"/>
          <w:numId w:val="30"/>
        </w:numPr>
        <w:tabs>
          <w:tab w:val="left" w:pos="426"/>
        </w:tabs>
        <w:autoSpaceDE w:val="0"/>
        <w:autoSpaceDN w:val="0"/>
        <w:spacing w:after="120" w:line="240" w:lineRule="auto"/>
        <w:jc w:val="both"/>
      </w:pPr>
      <w:r w:rsidRPr="00595D2F">
        <w:rPr>
          <w:b/>
          <w:u w:val="single"/>
        </w:rPr>
        <w:t>Prokázání podmínek kvalifikace</w:t>
      </w:r>
      <w:r w:rsidRPr="00FD0360">
        <w:t xml:space="preserve">. </w:t>
      </w:r>
    </w:p>
    <w:p w:rsidR="00FD0360" w:rsidRPr="00FD0360" w:rsidRDefault="00FD0360" w:rsidP="00FD1561">
      <w:pPr>
        <w:pStyle w:val="Textodstavce"/>
        <w:numPr>
          <w:ilvl w:val="0"/>
          <w:numId w:val="0"/>
        </w:numPr>
        <w:tabs>
          <w:tab w:val="clear" w:pos="851"/>
          <w:tab w:val="left" w:pos="540"/>
        </w:tabs>
        <w:rPr>
          <w:rFonts w:ascii="Calibri" w:hAnsi="Calibri"/>
          <w:sz w:val="22"/>
          <w:szCs w:val="22"/>
        </w:rPr>
      </w:pPr>
      <w:r w:rsidRPr="00FD0360">
        <w:rPr>
          <w:rFonts w:ascii="Calibri" w:hAnsi="Calibri"/>
          <w:sz w:val="22"/>
          <w:szCs w:val="22"/>
        </w:rPr>
        <w:t>Dodavatel je oprávněn v nabídce prokázat splnění základní způsobilosti dle § 74 ZZVZ</w:t>
      </w:r>
      <w:r w:rsidR="007B76C3">
        <w:rPr>
          <w:rFonts w:ascii="Calibri" w:hAnsi="Calibri"/>
          <w:sz w:val="22"/>
          <w:szCs w:val="22"/>
        </w:rPr>
        <w:t xml:space="preserve"> (</w:t>
      </w:r>
      <w:r w:rsidR="007B76C3" w:rsidRPr="00FD1561">
        <w:rPr>
          <w:rFonts w:ascii="Calibri" w:hAnsi="Calibri"/>
          <w:sz w:val="22"/>
          <w:szCs w:val="22"/>
        </w:rPr>
        <w:t>zákon č. 134/2016 Sb. v platném znění)</w:t>
      </w:r>
      <w:r w:rsidR="004A1E48">
        <w:rPr>
          <w:rFonts w:ascii="Calibri" w:hAnsi="Calibri"/>
          <w:sz w:val="22"/>
          <w:szCs w:val="22"/>
        </w:rPr>
        <w:t xml:space="preserve"> </w:t>
      </w:r>
      <w:r w:rsidRPr="00FD0360">
        <w:rPr>
          <w:rFonts w:ascii="Calibri" w:hAnsi="Calibri"/>
          <w:sz w:val="22"/>
          <w:szCs w:val="22"/>
        </w:rPr>
        <w:t>a profesní způsobilosti dle § v souladu s § 86 ZZVZ čestným prohlášením, nebo v souladu s § 87 ZZVZ Jednotným evropským osvědčením.</w:t>
      </w:r>
    </w:p>
    <w:p w:rsidR="00FD0360" w:rsidRPr="00FD1561" w:rsidRDefault="00FD0360" w:rsidP="00FD1561">
      <w:pPr>
        <w:pStyle w:val="Textodstavce"/>
        <w:numPr>
          <w:ilvl w:val="0"/>
          <w:numId w:val="0"/>
        </w:numPr>
        <w:tabs>
          <w:tab w:val="clear" w:pos="851"/>
          <w:tab w:val="left" w:pos="540"/>
        </w:tabs>
        <w:rPr>
          <w:rFonts w:ascii="Calibri" w:hAnsi="Calibri"/>
          <w:sz w:val="22"/>
          <w:szCs w:val="22"/>
        </w:rPr>
      </w:pPr>
      <w:r w:rsidRPr="00FD0360">
        <w:rPr>
          <w:rFonts w:ascii="Calibri" w:hAnsi="Calibri"/>
          <w:sz w:val="22"/>
          <w:szCs w:val="22"/>
        </w:rPr>
        <w:t xml:space="preserve">Prokázání základní způsobilosti se řídí ustanoveními § 75 </w:t>
      </w:r>
      <w:proofErr w:type="spellStart"/>
      <w:r w:rsidRPr="00FD0360">
        <w:rPr>
          <w:rFonts w:ascii="Calibri" w:hAnsi="Calibri"/>
          <w:sz w:val="22"/>
          <w:szCs w:val="22"/>
        </w:rPr>
        <w:t>an</w:t>
      </w:r>
      <w:proofErr w:type="spellEnd"/>
      <w:r w:rsidRPr="00FD0360">
        <w:rPr>
          <w:rFonts w:ascii="Calibri" w:hAnsi="Calibri"/>
          <w:sz w:val="22"/>
          <w:szCs w:val="22"/>
        </w:rPr>
        <w:t>. ZZVZ</w:t>
      </w:r>
      <w:r w:rsidR="00FD1561">
        <w:rPr>
          <w:rFonts w:ascii="Calibri" w:hAnsi="Calibri"/>
          <w:sz w:val="22"/>
          <w:szCs w:val="22"/>
        </w:rPr>
        <w:t xml:space="preserve"> -</w:t>
      </w:r>
      <w:r w:rsidR="007B76C3">
        <w:rPr>
          <w:rFonts w:ascii="Calibri" w:hAnsi="Calibri"/>
          <w:sz w:val="22"/>
          <w:szCs w:val="22"/>
        </w:rPr>
        <w:t xml:space="preserve"> (</w:t>
      </w:r>
      <w:r w:rsidR="00FD1561" w:rsidRPr="00FD1561">
        <w:rPr>
          <w:rFonts w:ascii="Calibri" w:hAnsi="Calibri"/>
          <w:sz w:val="22"/>
          <w:szCs w:val="22"/>
        </w:rPr>
        <w:t>zákon č. 134/2016 Sb. v platném znění)</w:t>
      </w:r>
      <w:r w:rsidR="00CA4B4E">
        <w:rPr>
          <w:rFonts w:ascii="Calibri" w:hAnsi="Calibri"/>
          <w:sz w:val="22"/>
          <w:szCs w:val="22"/>
        </w:rPr>
        <w:t>.</w:t>
      </w:r>
    </w:p>
    <w:p w:rsidR="00FD0360" w:rsidRPr="00FD0360" w:rsidRDefault="00FD0360" w:rsidP="00FD1561">
      <w:pPr>
        <w:pStyle w:val="Textodstavce"/>
        <w:numPr>
          <w:ilvl w:val="0"/>
          <w:numId w:val="0"/>
        </w:numPr>
        <w:tabs>
          <w:tab w:val="clear" w:pos="851"/>
          <w:tab w:val="left" w:pos="540"/>
        </w:tabs>
        <w:rPr>
          <w:rFonts w:ascii="Calibri" w:hAnsi="Calibri"/>
          <w:sz w:val="22"/>
          <w:szCs w:val="22"/>
        </w:rPr>
      </w:pPr>
      <w:r w:rsidRPr="00FD0360">
        <w:rPr>
          <w:rFonts w:ascii="Calibri" w:hAnsi="Calibri"/>
          <w:sz w:val="22"/>
          <w:szCs w:val="22"/>
        </w:rPr>
        <w:t>Dodavatel je oprávněn v nabídce prokázat splnění kvalifikace způsobem uvedeným v </w:t>
      </w:r>
      <w:proofErr w:type="spellStart"/>
      <w:r w:rsidRPr="00FD0360">
        <w:rPr>
          <w:rFonts w:ascii="Calibri" w:hAnsi="Calibri"/>
          <w:sz w:val="22"/>
          <w:szCs w:val="22"/>
        </w:rPr>
        <w:t>ust</w:t>
      </w:r>
      <w:proofErr w:type="spellEnd"/>
      <w:r w:rsidRPr="00FD0360">
        <w:rPr>
          <w:rFonts w:ascii="Calibri" w:hAnsi="Calibri"/>
          <w:sz w:val="22"/>
          <w:szCs w:val="22"/>
        </w:rPr>
        <w:t>. § 81 až 87 ZZVZ.</w:t>
      </w:r>
    </w:p>
    <w:p w:rsidR="00FD0360" w:rsidRPr="00FD0360" w:rsidRDefault="00FD0360" w:rsidP="00254299">
      <w:pPr>
        <w:pStyle w:val="Textodstavce"/>
        <w:numPr>
          <w:ilvl w:val="0"/>
          <w:numId w:val="27"/>
        </w:numPr>
        <w:tabs>
          <w:tab w:val="clear" w:pos="782"/>
          <w:tab w:val="clear" w:pos="851"/>
          <w:tab w:val="left" w:pos="540"/>
        </w:tabs>
        <w:ind w:firstLine="0"/>
        <w:rPr>
          <w:rFonts w:ascii="Calibri" w:hAnsi="Calibri"/>
          <w:sz w:val="22"/>
          <w:szCs w:val="22"/>
        </w:rPr>
      </w:pPr>
      <w:r w:rsidRPr="00FD0360">
        <w:rPr>
          <w:rFonts w:ascii="Calibri" w:hAnsi="Calibri"/>
          <w:sz w:val="22"/>
          <w:szCs w:val="22"/>
        </w:rPr>
        <w:t>Před uzavřením smlouvy si zadavatel v souladu s </w:t>
      </w:r>
      <w:proofErr w:type="spellStart"/>
      <w:r w:rsidRPr="00FD0360">
        <w:rPr>
          <w:rFonts w:ascii="Calibri" w:hAnsi="Calibri"/>
          <w:sz w:val="22"/>
          <w:szCs w:val="22"/>
        </w:rPr>
        <w:t>ust</w:t>
      </w:r>
      <w:proofErr w:type="spellEnd"/>
      <w:r w:rsidRPr="00FD0360">
        <w:rPr>
          <w:rFonts w:ascii="Calibri" w:hAnsi="Calibri"/>
          <w:sz w:val="22"/>
          <w:szCs w:val="22"/>
        </w:rPr>
        <w:t xml:space="preserve">. § </w:t>
      </w:r>
      <w:r w:rsidR="00A23E9F">
        <w:rPr>
          <w:rFonts w:ascii="Calibri" w:hAnsi="Calibri"/>
          <w:sz w:val="22"/>
          <w:szCs w:val="22"/>
        </w:rPr>
        <w:t>86</w:t>
      </w:r>
      <w:r w:rsidRPr="00FD0360">
        <w:rPr>
          <w:rFonts w:ascii="Calibri" w:hAnsi="Calibri"/>
          <w:sz w:val="22"/>
          <w:szCs w:val="22"/>
        </w:rPr>
        <w:t xml:space="preserve"> odst. </w:t>
      </w:r>
      <w:r w:rsidR="00A23E9F">
        <w:rPr>
          <w:rFonts w:ascii="Calibri" w:hAnsi="Calibri"/>
          <w:sz w:val="22"/>
          <w:szCs w:val="22"/>
        </w:rPr>
        <w:t>3</w:t>
      </w:r>
      <w:r w:rsidRPr="00FD0360">
        <w:rPr>
          <w:rFonts w:ascii="Calibri" w:hAnsi="Calibri"/>
          <w:sz w:val="22"/>
          <w:szCs w:val="22"/>
        </w:rPr>
        <w:t xml:space="preserve"> ZZVZ od vybraného dodavatele vždy vyžádá předložení originálů nebo ověřených kopií dokladů o kvalifikaci, pokud již nebyly v zadávacím řízení předloženy.</w:t>
      </w:r>
    </w:p>
    <w:p w:rsidR="009F31BC" w:rsidRDefault="009F31BC" w:rsidP="00FD1561">
      <w:pPr>
        <w:spacing w:after="207" w:line="248" w:lineRule="auto"/>
        <w:jc w:val="both"/>
      </w:pPr>
    </w:p>
    <w:tbl>
      <w:tblPr>
        <w:tblStyle w:val="TableGrid"/>
        <w:tblW w:w="9300" w:type="dxa"/>
        <w:tblInd w:w="-113" w:type="dxa"/>
        <w:tblCellMar>
          <w:top w:w="71" w:type="dxa"/>
          <w:right w:w="115" w:type="dxa"/>
        </w:tblCellMar>
        <w:tblLook w:val="04A0" w:firstRow="1" w:lastRow="0" w:firstColumn="1" w:lastColumn="0" w:noHBand="0" w:noVBand="1"/>
      </w:tblPr>
      <w:tblGrid>
        <w:gridCol w:w="821"/>
        <w:gridCol w:w="8479"/>
      </w:tblGrid>
      <w:tr w:rsidR="00C26380">
        <w:trPr>
          <w:trHeight w:val="391"/>
        </w:trPr>
        <w:tc>
          <w:tcPr>
            <w:tcW w:w="821" w:type="dxa"/>
            <w:tcBorders>
              <w:top w:val="single" w:sz="4" w:space="0" w:color="000000"/>
              <w:left w:val="single" w:sz="4" w:space="0" w:color="000000"/>
              <w:bottom w:val="single" w:sz="4" w:space="0" w:color="000000"/>
              <w:right w:val="nil"/>
            </w:tcBorders>
          </w:tcPr>
          <w:p w:rsidR="00C26380" w:rsidRPr="005F7613" w:rsidRDefault="009F31BC">
            <w:pPr>
              <w:ind w:left="113"/>
              <w:rPr>
                <w:color w:val="auto"/>
              </w:rPr>
            </w:pPr>
            <w:r w:rsidRPr="005F7613">
              <w:rPr>
                <w:b/>
                <w:color w:val="auto"/>
                <w:sz w:val="28"/>
              </w:rPr>
              <w:t>5</w:t>
            </w:r>
            <w:r w:rsidR="00455A63" w:rsidRPr="005F7613">
              <w:rPr>
                <w:b/>
                <w:color w:val="auto"/>
                <w:sz w:val="28"/>
              </w:rPr>
              <w:t>.</w:t>
            </w:r>
            <w:r w:rsidR="00455A63" w:rsidRPr="005F7613">
              <w:rPr>
                <w:rFonts w:ascii="Arial" w:eastAsia="Arial" w:hAnsi="Arial" w:cs="Arial"/>
                <w:b/>
                <w:color w:val="auto"/>
                <w:sz w:val="28"/>
              </w:rPr>
              <w:t xml:space="preserve"> </w:t>
            </w:r>
          </w:p>
        </w:tc>
        <w:tc>
          <w:tcPr>
            <w:tcW w:w="8478" w:type="dxa"/>
            <w:tcBorders>
              <w:top w:val="single" w:sz="4" w:space="0" w:color="000000"/>
              <w:left w:val="nil"/>
              <w:bottom w:val="single" w:sz="4" w:space="0" w:color="000000"/>
              <w:right w:val="single" w:sz="4" w:space="0" w:color="000000"/>
            </w:tcBorders>
          </w:tcPr>
          <w:p w:rsidR="00C26380" w:rsidRPr="005F7613" w:rsidRDefault="00455A63">
            <w:pPr>
              <w:rPr>
                <w:color w:val="auto"/>
              </w:rPr>
            </w:pPr>
            <w:r w:rsidRPr="005F7613">
              <w:rPr>
                <w:b/>
                <w:color w:val="auto"/>
                <w:sz w:val="28"/>
              </w:rPr>
              <w:t xml:space="preserve">Obchodní a platební podmínky </w:t>
            </w:r>
          </w:p>
        </w:tc>
      </w:tr>
    </w:tbl>
    <w:p w:rsidR="00C26380" w:rsidRDefault="00B84EBC">
      <w:pPr>
        <w:spacing w:after="264" w:line="249" w:lineRule="auto"/>
        <w:ind w:left="10" w:hanging="10"/>
        <w:jc w:val="both"/>
      </w:pPr>
      <w:r>
        <w:rPr>
          <w:b/>
        </w:rPr>
        <w:t>5</w:t>
      </w:r>
      <w:r w:rsidR="00455A63">
        <w:rPr>
          <w:b/>
        </w:rPr>
        <w:t>.1</w:t>
      </w:r>
      <w:r w:rsidR="00455A63">
        <w:rPr>
          <w:rFonts w:ascii="Arial" w:eastAsia="Arial" w:hAnsi="Arial" w:cs="Arial"/>
          <w:b/>
        </w:rPr>
        <w:t xml:space="preserve"> </w:t>
      </w:r>
      <w:r w:rsidR="00455A63">
        <w:t xml:space="preserve">Zadavatel stanoví, že </w:t>
      </w:r>
      <w:r w:rsidR="00455A63">
        <w:rPr>
          <w:b/>
        </w:rPr>
        <w:t>obchodní a platební podmínky předloží účastník zadávacího řízení v nabídce formou závazného návrhu pojistné smlouvy, resp. pojistných smluv</w:t>
      </w:r>
      <w:r w:rsidR="00455A63">
        <w:t xml:space="preserve"> (dále jen „</w:t>
      </w:r>
      <w:r w:rsidR="00455A63">
        <w:rPr>
          <w:b/>
          <w:i/>
        </w:rPr>
        <w:t>návrh smlouvy</w:t>
      </w:r>
      <w:r w:rsidR="00455A63">
        <w:t>“)</w:t>
      </w:r>
      <w:r w:rsidR="00455A63">
        <w:rPr>
          <w:b/>
        </w:rPr>
        <w:t>. Součástí návrhu smlouvy musí být veškeré dokumenty, zejména všeobecné či jiné obchodní, pojistné či jiné podmínky, na které návrh smlouvy odkazuje.</w:t>
      </w:r>
      <w:r w:rsidR="00455A63">
        <w:t xml:space="preserve"> </w:t>
      </w:r>
    </w:p>
    <w:p w:rsidR="00C26380" w:rsidRDefault="00B84EBC">
      <w:pPr>
        <w:spacing w:after="263" w:line="248" w:lineRule="auto"/>
        <w:ind w:left="-5" w:hanging="10"/>
        <w:jc w:val="both"/>
      </w:pPr>
      <w:r>
        <w:rPr>
          <w:b/>
        </w:rPr>
        <w:t>5</w:t>
      </w:r>
      <w:r w:rsidR="00455A63">
        <w:rPr>
          <w:b/>
        </w:rPr>
        <w:t>.2</w:t>
      </w:r>
      <w:r w:rsidR="00455A63">
        <w:rPr>
          <w:rFonts w:ascii="Arial" w:eastAsia="Arial" w:hAnsi="Arial" w:cs="Arial"/>
          <w:b/>
        </w:rPr>
        <w:t xml:space="preserve"> </w:t>
      </w:r>
      <w:r w:rsidR="00455A63">
        <w:t xml:space="preserve">Zadavatel dále stanoví, že </w:t>
      </w:r>
      <w:r w:rsidR="00455A63">
        <w:rPr>
          <w:b/>
        </w:rPr>
        <w:t>přílohu dokumentace zadávacího řízení tvoří obchodní podmínky zadavatele pro návrh smlouvy k veřejné zakázce</w:t>
      </w:r>
      <w:r w:rsidR="00455A63">
        <w:t>, a to ve variantách pro jednotlivé druhy pojištění (dále jen „</w:t>
      </w:r>
      <w:r w:rsidR="00455A63">
        <w:rPr>
          <w:b/>
          <w:i/>
        </w:rPr>
        <w:t>Obchodní podmínky zadavatele</w:t>
      </w:r>
      <w:r w:rsidR="00455A63">
        <w:t>“)</w:t>
      </w:r>
      <w:r w:rsidR="00455A63">
        <w:rPr>
          <w:b/>
        </w:rPr>
        <w:t xml:space="preserve">. Účastník zadávacího řízení předloží návrh smlouvy, jehož součástí budou příslušné Obchodní podmínky zadavatele. </w:t>
      </w:r>
      <w:r w:rsidR="00455A63">
        <w:t xml:space="preserve">Účastník zadávacího řízení není oprávněn žádným způsobem měnit, doplňovat či omezovat práva a povinnosti vymezené v Obchodních podmínkách zadavatele, a to ani přímou úpravou Obchodních podmínek zadavatele, ani uvedením jakýchkoli omezujících či pozměňujících ujednání do návrhu smlouvy, není-li v zadávací dokumentaci uvedeno jinak. </w:t>
      </w:r>
    </w:p>
    <w:p w:rsidR="00C26380" w:rsidRPr="008F3224" w:rsidRDefault="00B84EBC">
      <w:pPr>
        <w:spacing w:after="264" w:line="249" w:lineRule="auto"/>
        <w:ind w:left="10" w:hanging="10"/>
        <w:jc w:val="both"/>
        <w:rPr>
          <w:color w:val="auto"/>
        </w:rPr>
      </w:pPr>
      <w:r>
        <w:rPr>
          <w:b/>
        </w:rPr>
        <w:t>5</w:t>
      </w:r>
      <w:r w:rsidR="00455A63">
        <w:rPr>
          <w:b/>
        </w:rPr>
        <w:t>.3</w:t>
      </w:r>
      <w:r w:rsidR="00455A63">
        <w:rPr>
          <w:rFonts w:ascii="Arial" w:eastAsia="Arial" w:hAnsi="Arial" w:cs="Arial"/>
          <w:b/>
        </w:rPr>
        <w:t xml:space="preserve"> </w:t>
      </w:r>
      <w:r w:rsidR="00455A63">
        <w:rPr>
          <w:b/>
        </w:rPr>
        <w:t xml:space="preserve">Účastník zadávacího řízení předloží návrh smlouvy, který bude respektovat veškeré podmínky a požadavky zadavatele uvedené v zadávací dokumentaci. V případě, že návrh smlouvy bude obsahovat ujednání, která budou svým zněním, smyslem nebo účelem v rozporu s podmínkami a požadavky zadavatele uvedenými v zadávací dokumentaci, platí, že se k takovým ujednáním návrhu smlouvy nepřihlíží. </w:t>
      </w:r>
      <w:r w:rsidR="00455A63">
        <w:t xml:space="preserve">Bližší požadavky na předmět a rozsah pojištění jsou uvedeny ve </w:t>
      </w:r>
      <w:r w:rsidR="00455A63">
        <w:lastRenderedPageBreak/>
        <w:t xml:space="preserve">specifikaci předmětu plnění – v Obchodních podmínkách zadavatele </w:t>
      </w:r>
      <w:r w:rsidR="00455A63" w:rsidRPr="00262CFE">
        <w:rPr>
          <w:color w:val="auto"/>
        </w:rPr>
        <w:t>(</w:t>
      </w:r>
      <w:r w:rsidR="000E164B" w:rsidRPr="00262CFE">
        <w:rPr>
          <w:color w:val="auto"/>
        </w:rPr>
        <w:t>Příloha č. 1 - 9</w:t>
      </w:r>
      <w:r w:rsidR="00455A63" w:rsidRPr="00262CFE">
        <w:rPr>
          <w:color w:val="auto"/>
        </w:rPr>
        <w:t xml:space="preserve"> dokumentace zadávacího řízení). Odchylná </w:t>
      </w:r>
      <w:r w:rsidR="00455A63">
        <w:t xml:space="preserve">ujednání ve prospěch zadavatele (např. vyšší limity plnění, nižší spoluúčasti, ujednání </w:t>
      </w:r>
      <w:r w:rsidR="00455A63" w:rsidRPr="008F3224">
        <w:rPr>
          <w:color w:val="auto"/>
        </w:rPr>
        <w:t xml:space="preserve">ve prospěch zadavatele, změny v oblasti majetku bez vlivu na výši pojistného apod.) se připouští. </w:t>
      </w:r>
    </w:p>
    <w:p w:rsidR="00C26380" w:rsidRPr="008F3224" w:rsidRDefault="00B84EBC">
      <w:pPr>
        <w:spacing w:after="264" w:line="249" w:lineRule="auto"/>
        <w:ind w:left="10" w:hanging="10"/>
        <w:jc w:val="both"/>
        <w:rPr>
          <w:color w:val="auto"/>
        </w:rPr>
      </w:pPr>
      <w:r w:rsidRPr="008F3224">
        <w:rPr>
          <w:b/>
          <w:color w:val="auto"/>
        </w:rPr>
        <w:t>5</w:t>
      </w:r>
      <w:r w:rsidR="00455A63" w:rsidRPr="008F3224">
        <w:rPr>
          <w:b/>
          <w:color w:val="auto"/>
        </w:rPr>
        <w:t>.4</w:t>
      </w:r>
      <w:r w:rsidR="00455A63" w:rsidRPr="008F3224">
        <w:rPr>
          <w:rFonts w:ascii="Arial" w:eastAsia="Arial" w:hAnsi="Arial" w:cs="Arial"/>
          <w:b/>
          <w:color w:val="auto"/>
        </w:rPr>
        <w:t xml:space="preserve"> </w:t>
      </w:r>
      <w:r w:rsidR="00455A63" w:rsidRPr="008F3224">
        <w:rPr>
          <w:b/>
          <w:color w:val="auto"/>
        </w:rPr>
        <w:t>Roční pojistné bude hrazeno čtvrtletně</w:t>
      </w:r>
      <w:r w:rsidR="00CA4B4E">
        <w:rPr>
          <w:b/>
          <w:color w:val="auto"/>
        </w:rPr>
        <w:t xml:space="preserve"> </w:t>
      </w:r>
      <w:r w:rsidR="00CA4B4E" w:rsidRPr="008F3224">
        <w:rPr>
          <w:b/>
          <w:color w:val="auto"/>
        </w:rPr>
        <w:t>ve čtyřech splátkách ve stejné výši</w:t>
      </w:r>
      <w:r w:rsidR="00CA4B4E">
        <w:rPr>
          <w:b/>
          <w:color w:val="auto"/>
        </w:rPr>
        <w:t>, a to vždy první splátka k 31.01., další splátky pak</w:t>
      </w:r>
      <w:r w:rsidR="00455A63" w:rsidRPr="008F3224">
        <w:rPr>
          <w:b/>
          <w:color w:val="auto"/>
        </w:rPr>
        <w:t xml:space="preserve"> </w:t>
      </w:r>
      <w:r w:rsidR="008F3224" w:rsidRPr="008F3224">
        <w:rPr>
          <w:b/>
          <w:color w:val="auto"/>
        </w:rPr>
        <w:t>vždy k počátku příslušného</w:t>
      </w:r>
      <w:r w:rsidR="00CA4B4E">
        <w:rPr>
          <w:b/>
          <w:color w:val="auto"/>
        </w:rPr>
        <w:t xml:space="preserve"> kalendářního čtvrtletí, tedy </w:t>
      </w:r>
      <w:proofErr w:type="gramStart"/>
      <w:r w:rsidR="00CA4B4E">
        <w:rPr>
          <w:b/>
          <w:color w:val="auto"/>
        </w:rPr>
        <w:t xml:space="preserve">k </w:t>
      </w:r>
      <w:r w:rsidR="00455A63" w:rsidRPr="008F3224">
        <w:rPr>
          <w:b/>
          <w:color w:val="auto"/>
        </w:rPr>
        <w:t xml:space="preserve"> 01.</w:t>
      </w:r>
      <w:proofErr w:type="gramEnd"/>
      <w:r w:rsidR="00455A63" w:rsidRPr="008F3224">
        <w:rPr>
          <w:b/>
          <w:color w:val="auto"/>
        </w:rPr>
        <w:t xml:space="preserve">04., 01.07. a 01.10. příslušného kalendářního roku, </w:t>
      </w:r>
      <w:r w:rsidR="00455A63" w:rsidRPr="008F3224">
        <w:rPr>
          <w:color w:val="auto"/>
        </w:rPr>
        <w:t xml:space="preserve">není-li v zadávací dokumentaci uvedeno jinak. </w:t>
      </w:r>
    </w:p>
    <w:p w:rsidR="00C26380" w:rsidRPr="00D13A68" w:rsidRDefault="00B84EBC">
      <w:pPr>
        <w:spacing w:after="264" w:line="249" w:lineRule="auto"/>
        <w:ind w:left="10" w:hanging="10"/>
        <w:jc w:val="both"/>
        <w:rPr>
          <w:color w:val="FF0000"/>
        </w:rPr>
      </w:pPr>
      <w:r>
        <w:rPr>
          <w:b/>
        </w:rPr>
        <w:t>5</w:t>
      </w:r>
      <w:r w:rsidR="00455A63">
        <w:rPr>
          <w:b/>
        </w:rPr>
        <w:t>.5</w:t>
      </w:r>
      <w:r w:rsidR="00455A63">
        <w:rPr>
          <w:rFonts w:ascii="Arial" w:eastAsia="Arial" w:hAnsi="Arial" w:cs="Arial"/>
          <w:b/>
        </w:rPr>
        <w:t xml:space="preserve"> </w:t>
      </w:r>
      <w:r w:rsidR="00455A63" w:rsidRPr="00D13A68">
        <w:rPr>
          <w:b/>
          <w:color w:val="000000" w:themeColor="text1"/>
        </w:rPr>
        <w:t>Zadavatel pověřuje zpracováním a vedením (řízením) pojistného zájmu jeho a jeho organizací výhradně obchodní společnost SATUM CZECH s.r.o.</w:t>
      </w:r>
      <w:r w:rsidR="00455A63" w:rsidRPr="00D13A68">
        <w:rPr>
          <w:color w:val="000000" w:themeColor="text1"/>
        </w:rPr>
        <w:t>, IČO: 25373951, se sídlem: Porážková 1424/20, Moravská Ostrava, 702 00 Ostrava (dále jen „</w:t>
      </w:r>
      <w:r w:rsidR="00455A63" w:rsidRPr="00D13A68">
        <w:rPr>
          <w:b/>
          <w:i/>
          <w:color w:val="000000" w:themeColor="text1"/>
        </w:rPr>
        <w:t>pojišťovací makléř</w:t>
      </w:r>
      <w:r w:rsidR="00455A63" w:rsidRPr="00D13A68">
        <w:rPr>
          <w:color w:val="000000" w:themeColor="text1"/>
        </w:rPr>
        <w:t xml:space="preserve">“). Obchodní styk, který se bude týkat smlouvy, resp. smluv, na plnění veřejné zakázky, bude prováděn výhradně prostřednictvím pojišťovacího makléře. Pojišťovací makléř je povinen respektovat ujednání zadavatele (pojistníka) a účastníka zadávacího řízení (pojistitele). </w:t>
      </w:r>
      <w:r w:rsidR="00455A63" w:rsidRPr="00D13A68">
        <w:rPr>
          <w:b/>
          <w:color w:val="000000" w:themeColor="text1"/>
        </w:rPr>
        <w:t>Platby pojistného budou zadavatelem (pojistníkem) účastníku zadávacího řízení (pojistiteli) hrazeny v české měně (v Kč), a to prostřednictvím pojišťovacího makléře, tj. zadavatel bude hradit pojistné na účet pojišťovacího makléře. Pojistné je uhrazeno odesláním příslušné částky na účet pojišťovacího makléře.</w:t>
      </w:r>
      <w:r w:rsidR="00455A63" w:rsidRPr="00D13A68">
        <w:rPr>
          <w:color w:val="000000" w:themeColor="text1"/>
        </w:rPr>
        <w:t xml:space="preserve"> </w:t>
      </w:r>
    </w:p>
    <w:p w:rsidR="00C26380" w:rsidRDefault="00B84EBC">
      <w:pPr>
        <w:spacing w:after="264" w:line="249" w:lineRule="auto"/>
        <w:ind w:left="10" w:hanging="10"/>
        <w:jc w:val="both"/>
      </w:pPr>
      <w:r>
        <w:rPr>
          <w:b/>
        </w:rPr>
        <w:t>5.6</w:t>
      </w:r>
      <w:r w:rsidR="00D76AAF">
        <w:rPr>
          <w:rFonts w:ascii="Arial" w:eastAsia="Arial" w:hAnsi="Arial" w:cs="Arial"/>
          <w:b/>
        </w:rPr>
        <w:t xml:space="preserve"> </w:t>
      </w:r>
      <w:r w:rsidR="00455A63">
        <w:rPr>
          <w:b/>
        </w:rPr>
        <w:t>Účastník zadávacího řízení je dále povinen respektovat následující požadavky zadavatele na obchodní a platební podmínky:</w:t>
      </w:r>
      <w:r w:rsidR="00455A63">
        <w:rPr>
          <w:b/>
          <w:color w:val="FF0000"/>
        </w:rPr>
        <w:t xml:space="preserve"> </w:t>
      </w:r>
    </w:p>
    <w:p w:rsidR="00C26380" w:rsidRDefault="00455A63" w:rsidP="00254299">
      <w:pPr>
        <w:numPr>
          <w:ilvl w:val="0"/>
          <w:numId w:val="2"/>
        </w:numPr>
        <w:spacing w:after="143" w:line="248" w:lineRule="auto"/>
        <w:ind w:hanging="283"/>
        <w:jc w:val="both"/>
      </w:pPr>
      <w:r>
        <w:t xml:space="preserve">smlouva je uzavřena na základě výsledků zadávacího řízení veřejné zakázky, přičemž jednotlivá ujednání smlouvy, resp. smluv, na plnění veřejné zakázky budou vykládána v souladu se zadávacími podmínkami veřejné zakázky a nabídkou účastníka zadávacího řízení podanou na veřejnou zakázku a v případě rozporu mají přednost zadávací podmínky veřejné zakázky; </w:t>
      </w:r>
    </w:p>
    <w:p w:rsidR="00C26380" w:rsidRDefault="00455A63" w:rsidP="00254299">
      <w:pPr>
        <w:numPr>
          <w:ilvl w:val="0"/>
          <w:numId w:val="2"/>
        </w:numPr>
        <w:spacing w:after="142" w:line="248" w:lineRule="auto"/>
        <w:ind w:hanging="283"/>
        <w:jc w:val="both"/>
      </w:pPr>
      <w:r>
        <w:t xml:space="preserve">zadavatel nebude poskytovat účastníku zadávacího řízení zálohy na pojistné; </w:t>
      </w:r>
    </w:p>
    <w:p w:rsidR="00C26380" w:rsidRDefault="00455A63" w:rsidP="00254299">
      <w:pPr>
        <w:numPr>
          <w:ilvl w:val="0"/>
          <w:numId w:val="2"/>
        </w:numPr>
        <w:spacing w:after="146" w:line="248" w:lineRule="auto"/>
        <w:ind w:hanging="283"/>
        <w:jc w:val="both"/>
      </w:pPr>
      <w:r>
        <w:t xml:space="preserve">účastník zadávacího řízení není oprávněn stanovit vůči zadavateli nebo jeho organizacím žádné sankce mimo zákonného úroku z prodlení ve výši podle právních předpisů při prodlení s úhradou pojistného; </w:t>
      </w:r>
    </w:p>
    <w:p w:rsidR="00C26380" w:rsidRDefault="00455A63" w:rsidP="00254299">
      <w:pPr>
        <w:numPr>
          <w:ilvl w:val="0"/>
          <w:numId w:val="2"/>
        </w:numPr>
        <w:spacing w:after="146" w:line="248" w:lineRule="auto"/>
        <w:ind w:hanging="283"/>
        <w:jc w:val="both"/>
      </w:pPr>
      <w:r>
        <w:t xml:space="preserve">účastník zadávacího řízení není oprávněn postoupit žádnou svou pohledávku za zadavatelem nebo jeho organizací vyplývající ze smlouvy, resp. smluv, na plnění veřejné zakázky nebo vzniklou v souvislosti se smlouvou, resp. smlouvami, na plnění veřejné zakázky bez předchozího písemného souhlasu zadavatele; </w:t>
      </w:r>
    </w:p>
    <w:p w:rsidR="00C26380" w:rsidRDefault="00455A63" w:rsidP="00254299">
      <w:pPr>
        <w:numPr>
          <w:ilvl w:val="0"/>
          <w:numId w:val="2"/>
        </w:numPr>
        <w:spacing w:after="146" w:line="248" w:lineRule="auto"/>
        <w:ind w:hanging="283"/>
        <w:jc w:val="both"/>
      </w:pPr>
      <w:r>
        <w:t xml:space="preserve">účastník zadávacího řízení není oprávněn provést jednostranné započtení žádné své pohledávky za zadavatelem nebo jeho organizací vyplývající ze smlouvy, resp. smluv, na plnění veřejné zakázky nebo vzniklé v souvislosti se smlouvou, resp. smlouvami, na plnění veřejné zakázky na jakoukoliv pohledávku zadavatele nebo jeho organizace za účastníkem zadávacího řízení (zejména na pojistné plnění) bez předchozího písemného souhlasu zadavatele; </w:t>
      </w:r>
    </w:p>
    <w:p w:rsidR="00C26380" w:rsidRDefault="00A23E9F" w:rsidP="00254299">
      <w:pPr>
        <w:numPr>
          <w:ilvl w:val="0"/>
          <w:numId w:val="2"/>
        </w:numPr>
        <w:spacing w:after="145" w:line="248" w:lineRule="auto"/>
        <w:ind w:hanging="283"/>
        <w:jc w:val="both"/>
      </w:pPr>
      <w:r>
        <w:t xml:space="preserve">v souladu s </w:t>
      </w:r>
      <w:r w:rsidRPr="00FD0360">
        <w:t>§</w:t>
      </w:r>
      <w:r>
        <w:t xml:space="preserve"> 100 odst. 3 lze </w:t>
      </w:r>
      <w:r w:rsidR="00455A63">
        <w:t>smlouvu, resp. smlouv</w:t>
      </w:r>
      <w:r>
        <w:t>y, na plnění veřejné zakázky</w:t>
      </w:r>
      <w:r w:rsidR="00455A63">
        <w:t xml:space="preserve"> měnit pouze písemnými dodatky podepsanými oprávněnými zástupci obou smluvních stran, s výjimkou změny seznamu pojištěných osob, který bude zadavatel oprávněn měnit jednostranně, přičemž změna seznamu pojištěných osob bude účinná okamžikem akceptace účastníkem zadávacího řízení, nejpozději však prvním dnem kalendářního měsíce následujícího po měsíci, v němž bude účastníku zadávacího řízení změna seznamu pojištěných osob písemně oznámena; </w:t>
      </w:r>
    </w:p>
    <w:p w:rsidR="00CA4B4E" w:rsidRDefault="00A23E9F" w:rsidP="00254299">
      <w:pPr>
        <w:numPr>
          <w:ilvl w:val="0"/>
          <w:numId w:val="2"/>
        </w:numPr>
        <w:spacing w:after="145" w:line="248" w:lineRule="auto"/>
        <w:ind w:hanging="283"/>
        <w:jc w:val="both"/>
      </w:pPr>
      <w:r>
        <w:lastRenderedPageBreak/>
        <w:t xml:space="preserve">v souladu s </w:t>
      </w:r>
      <w:r w:rsidRPr="00FD0360">
        <w:t>§</w:t>
      </w:r>
      <w:r>
        <w:t xml:space="preserve"> 100 odst. 3 se </w:t>
      </w:r>
      <w:r w:rsidR="00CA4B4E">
        <w:t>uchazeč dále zavazuje v případě nově vzniklé pojistné potřeby (zejména vznik nové obchodní společnosti nebo příspěvkové organizace) pojistit tento subjekt za stejných podmínek</w:t>
      </w:r>
      <w:r w:rsidR="007B3568">
        <w:rPr>
          <w:lang w:val="en-US"/>
        </w:rPr>
        <w:t>;</w:t>
      </w:r>
    </w:p>
    <w:p w:rsidR="00C26380" w:rsidRPr="005C243E" w:rsidRDefault="00455A63" w:rsidP="00254299">
      <w:pPr>
        <w:numPr>
          <w:ilvl w:val="0"/>
          <w:numId w:val="2"/>
        </w:numPr>
        <w:spacing w:after="10" w:line="248" w:lineRule="auto"/>
        <w:ind w:hanging="283"/>
        <w:jc w:val="both"/>
      </w:pPr>
      <w:r w:rsidRPr="005C243E">
        <w:t xml:space="preserve">účastník zadávacího řízení bere na vědomí, že zadavatel je povinným subjektem podle zákona </w:t>
      </w:r>
    </w:p>
    <w:p w:rsidR="00C26380" w:rsidRPr="005C243E" w:rsidRDefault="00455A63">
      <w:pPr>
        <w:spacing w:after="0"/>
        <w:ind w:left="10" w:right="-10" w:hanging="10"/>
        <w:jc w:val="right"/>
      </w:pPr>
      <w:r w:rsidRPr="005C243E">
        <w:t xml:space="preserve">č. 106/1999 Sb., o svobodném přístupu k informacím, ve znění pozdějších předpisů, a zákona </w:t>
      </w:r>
    </w:p>
    <w:p w:rsidR="005C243E" w:rsidRPr="00FD75E2" w:rsidRDefault="00455A63" w:rsidP="00FD75E2">
      <w:pPr>
        <w:spacing w:after="143" w:line="248" w:lineRule="auto"/>
        <w:ind w:left="718" w:hanging="10"/>
        <w:jc w:val="both"/>
        <w:rPr>
          <w:b/>
        </w:rPr>
      </w:pPr>
      <w:r w:rsidRPr="005C243E">
        <w:t>č. 340/2015 Sb., o zvláštních podmínkách účinnosti některých smluv, uveřejňování těchto smluv a o registru smluv (zákon o registru smluv), a že souhlasí se zveřejněním smlouvy, resp. smluv, na plnění veřejné zakázky v souladu s povinnostmi zadavatele za podmínek vyplývajících z příslušných právních předpisů;</w:t>
      </w:r>
      <w:r>
        <w:rPr>
          <w:b/>
        </w:rPr>
        <w:t xml:space="preserve"> </w:t>
      </w:r>
    </w:p>
    <w:p w:rsidR="00C26380" w:rsidRDefault="00455A63" w:rsidP="00254299">
      <w:pPr>
        <w:numPr>
          <w:ilvl w:val="0"/>
          <w:numId w:val="2"/>
        </w:numPr>
        <w:spacing w:after="146" w:line="248" w:lineRule="auto"/>
        <w:ind w:hanging="283"/>
        <w:jc w:val="both"/>
      </w:pPr>
      <w:r>
        <w:t xml:space="preserve">obchodní podmínky nesmí omezovat nárok na náhradu škody či nemajetkové újmy zadavatele nebo jeho organizací vzniklý v důsledku porušení dobrých mravů, povinností stanovených právními předpisy nebo povinností ze smlouvy, resp. smluv, na plnění veřejné zakázky účastníkem zadávacího řízení; </w:t>
      </w:r>
    </w:p>
    <w:p w:rsidR="00C26380" w:rsidRDefault="00455A63" w:rsidP="00254299">
      <w:pPr>
        <w:numPr>
          <w:ilvl w:val="0"/>
          <w:numId w:val="2"/>
        </w:numPr>
        <w:spacing w:after="146" w:line="248" w:lineRule="auto"/>
        <w:ind w:hanging="283"/>
        <w:jc w:val="both"/>
      </w:pPr>
      <w:r>
        <w:t>obchodní podmínky nesmí obsahovat vzdání se jakýchkoliv práv zadavatele nebo jeho organizací uvedených v dispozitivních ustanoveních zákona č. 89/2012 Sb., občanský zákoník, ve znění pozdějších předpisů (dále jen „</w:t>
      </w:r>
      <w:r>
        <w:rPr>
          <w:b/>
          <w:i/>
        </w:rPr>
        <w:t>občanský zákoník</w:t>
      </w:r>
      <w:r>
        <w:t xml:space="preserve">“) či jejich zkrácení; </w:t>
      </w:r>
    </w:p>
    <w:p w:rsidR="00C26380" w:rsidRDefault="00455A63" w:rsidP="00254299">
      <w:pPr>
        <w:numPr>
          <w:ilvl w:val="0"/>
          <w:numId w:val="2"/>
        </w:numPr>
        <w:spacing w:after="146" w:line="248" w:lineRule="auto"/>
        <w:ind w:hanging="283"/>
        <w:jc w:val="both"/>
      </w:pPr>
      <w:r>
        <w:t xml:space="preserve">obchodní podmínky nesmí obsahovat cenovou, kurzovou či inflační doložku v neprospěch zadavatele či jeho organizací; </w:t>
      </w:r>
    </w:p>
    <w:p w:rsidR="00C26380" w:rsidRDefault="00455A63" w:rsidP="00254299">
      <w:pPr>
        <w:numPr>
          <w:ilvl w:val="0"/>
          <w:numId w:val="2"/>
        </w:numPr>
        <w:spacing w:after="146" w:line="248" w:lineRule="auto"/>
        <w:ind w:hanging="283"/>
        <w:jc w:val="both"/>
      </w:pPr>
      <w:r>
        <w:t xml:space="preserve">obchodní podmínky nesmí obsahovat rozhodčí doložku, ani ujednání o jiné místní příslušnosti soudu, než je soud určený podle místa sídla žalovaného; </w:t>
      </w:r>
    </w:p>
    <w:p w:rsidR="00C26380" w:rsidRDefault="00455A63" w:rsidP="00254299">
      <w:pPr>
        <w:numPr>
          <w:ilvl w:val="0"/>
          <w:numId w:val="2"/>
        </w:numPr>
        <w:spacing w:after="263" w:line="248" w:lineRule="auto"/>
        <w:ind w:hanging="283"/>
        <w:jc w:val="both"/>
      </w:pPr>
      <w:r>
        <w:t xml:space="preserve">obchodní podmínky nesmí stanovit, že smlouva se uzavírá podle § 1897 odst. 2 občanského zákoníku na řad účastníka zadávacího řízení. </w:t>
      </w:r>
    </w:p>
    <w:p w:rsidR="00D76AAF" w:rsidRDefault="00D76AAF" w:rsidP="00D76AAF">
      <w:pPr>
        <w:pStyle w:val="Odstavecseseznamem"/>
        <w:spacing w:after="264" w:line="249" w:lineRule="auto"/>
        <w:ind w:left="360"/>
        <w:jc w:val="both"/>
      </w:pPr>
    </w:p>
    <w:p w:rsidR="00D76AAF" w:rsidRDefault="00455A63" w:rsidP="00D76AAF">
      <w:pPr>
        <w:pStyle w:val="Odstavecseseznamem"/>
        <w:numPr>
          <w:ilvl w:val="1"/>
          <w:numId w:val="45"/>
        </w:numPr>
        <w:spacing w:after="264" w:line="249" w:lineRule="auto"/>
        <w:jc w:val="both"/>
      </w:pPr>
      <w:r>
        <w:t>Účastní</w:t>
      </w:r>
      <w:r w:rsidR="00EB1F18">
        <w:t>k zadávacího řízení je povinen</w:t>
      </w:r>
      <w:r>
        <w:t xml:space="preserve"> předložit návrh smlouvy identifikující smluvní strany na straně účastníka zadávacího řízení, a to v souladu se skutečným stavem tak, aby bylo vymezení účastníka zadávacího řízení j</w:t>
      </w:r>
      <w:r w:rsidR="00D76AAF">
        <w:t xml:space="preserve">ednoznačné a dostatečně jasné. </w:t>
      </w:r>
    </w:p>
    <w:p w:rsidR="00D76AAF" w:rsidRDefault="00D76AAF" w:rsidP="00D76AAF">
      <w:pPr>
        <w:pStyle w:val="Odstavecseseznamem"/>
      </w:pPr>
    </w:p>
    <w:p w:rsidR="00D76AAF" w:rsidRDefault="00455A63" w:rsidP="00D76AAF">
      <w:pPr>
        <w:pStyle w:val="Odstavecseseznamem"/>
        <w:numPr>
          <w:ilvl w:val="1"/>
          <w:numId w:val="45"/>
        </w:numPr>
        <w:spacing w:after="264" w:line="249" w:lineRule="auto"/>
        <w:jc w:val="both"/>
      </w:pPr>
      <w:r>
        <w:t xml:space="preserve">Podává-li nabídku více dodavatelů společně (jako jeden účastník zadávacího řízení), jsou povinni přiložit k předmětné smlouvě originál nebo ověřenou kopii smlouvy, z níž bude závazně vyplývat, že všichni tito dodavatelé budou vůči třetím osobám v souvislosti s plněním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 </w:t>
      </w:r>
    </w:p>
    <w:p w:rsidR="00D76AAF" w:rsidRDefault="00D76AAF" w:rsidP="00D76AAF">
      <w:pPr>
        <w:pStyle w:val="Odstavecseseznamem"/>
      </w:pPr>
    </w:p>
    <w:p w:rsidR="00D76AAF" w:rsidRDefault="00455A63" w:rsidP="00D76AAF">
      <w:pPr>
        <w:pStyle w:val="Odstavecseseznamem"/>
        <w:numPr>
          <w:ilvl w:val="1"/>
          <w:numId w:val="45"/>
        </w:numPr>
        <w:spacing w:after="264" w:line="249" w:lineRule="auto"/>
        <w:jc w:val="both"/>
      </w:pPr>
      <w:r>
        <w:t xml:space="preserve">Právní vztah vzniklý na základě návrhu smlouvy se bude řídit platnými a účinnými právními </w:t>
      </w:r>
      <w:r w:rsidR="00D76AAF">
        <w:t xml:space="preserve">   </w:t>
      </w:r>
      <w:r>
        <w:t xml:space="preserve">předpisy České republiky a přímo použitelnými právními předpisy Evropské unie. </w:t>
      </w:r>
    </w:p>
    <w:p w:rsidR="00D76AAF" w:rsidRDefault="00D76AAF" w:rsidP="00D76AAF">
      <w:pPr>
        <w:pStyle w:val="Odstavecseseznamem"/>
        <w:spacing w:after="264" w:line="249" w:lineRule="auto"/>
        <w:ind w:left="360"/>
        <w:jc w:val="both"/>
      </w:pPr>
    </w:p>
    <w:p w:rsidR="00D76AAF" w:rsidRDefault="00455A63" w:rsidP="00D76AAF">
      <w:pPr>
        <w:pStyle w:val="Odstavecseseznamem"/>
        <w:numPr>
          <w:ilvl w:val="1"/>
          <w:numId w:val="45"/>
        </w:numPr>
        <w:spacing w:after="264" w:line="249" w:lineRule="auto"/>
        <w:jc w:val="both"/>
      </w:pPr>
      <w:r>
        <w:t xml:space="preserve">Návrh smlouvy musí respektovat ustanovení zákona, občanského zákoníku a dalších právních předpisů, které se vztahují na provádění veřejné zakázky. </w:t>
      </w:r>
    </w:p>
    <w:p w:rsidR="00D76AAF" w:rsidRDefault="00D76AAF" w:rsidP="00D76AAF">
      <w:pPr>
        <w:pStyle w:val="Odstavecseseznamem"/>
      </w:pPr>
    </w:p>
    <w:p w:rsidR="00B84EBC" w:rsidRDefault="00455A63" w:rsidP="00D76AAF">
      <w:pPr>
        <w:pStyle w:val="Odstavecseseznamem"/>
        <w:numPr>
          <w:ilvl w:val="1"/>
          <w:numId w:val="45"/>
        </w:numPr>
        <w:spacing w:after="264" w:line="249" w:lineRule="auto"/>
        <w:jc w:val="both"/>
      </w:pPr>
      <w:r>
        <w:t xml:space="preserve">Návrh smlouvy nesmí vyloučit či žádným způsobem omezovat oprávnění zadavatele nebo jeho organizací uvedená v zadávací dokumentaci; v opačném případě nabídka nesplňuje zadávací podmínky. </w:t>
      </w:r>
    </w:p>
    <w:p w:rsidR="00D76AAF" w:rsidRDefault="00D76AAF" w:rsidP="00D76AAF">
      <w:pPr>
        <w:pStyle w:val="Odstavecseseznamem"/>
      </w:pPr>
    </w:p>
    <w:p w:rsidR="00D76AAF" w:rsidRDefault="00D76AAF" w:rsidP="00D76AAF">
      <w:pPr>
        <w:pStyle w:val="Odstavecseseznamem"/>
        <w:spacing w:after="264" w:line="249" w:lineRule="auto"/>
        <w:ind w:left="360"/>
        <w:jc w:val="both"/>
      </w:pPr>
    </w:p>
    <w:p w:rsidR="006508AC" w:rsidRDefault="006508AC" w:rsidP="00D76AAF">
      <w:pPr>
        <w:pStyle w:val="Odstavecseseznamem"/>
        <w:spacing w:after="264" w:line="249" w:lineRule="auto"/>
        <w:ind w:left="360"/>
        <w:jc w:val="both"/>
      </w:pPr>
    </w:p>
    <w:p w:rsidR="006508AC" w:rsidRDefault="006508AC" w:rsidP="00D76AAF">
      <w:pPr>
        <w:pStyle w:val="Odstavecseseznamem"/>
        <w:spacing w:after="264" w:line="249" w:lineRule="auto"/>
        <w:ind w:left="360"/>
        <w:jc w:val="both"/>
      </w:pPr>
    </w:p>
    <w:p w:rsidR="006508AC" w:rsidRDefault="006508AC" w:rsidP="00D76AAF">
      <w:pPr>
        <w:pStyle w:val="Odstavecseseznamem"/>
        <w:spacing w:after="264" w:line="249" w:lineRule="auto"/>
        <w:ind w:left="360"/>
        <w:jc w:val="both"/>
      </w:pPr>
    </w:p>
    <w:tbl>
      <w:tblPr>
        <w:tblStyle w:val="TableGrid"/>
        <w:tblW w:w="9300" w:type="dxa"/>
        <w:tblInd w:w="-113" w:type="dxa"/>
        <w:tblCellMar>
          <w:top w:w="71" w:type="dxa"/>
          <w:right w:w="115" w:type="dxa"/>
        </w:tblCellMar>
        <w:tblLook w:val="04A0" w:firstRow="1" w:lastRow="0" w:firstColumn="1" w:lastColumn="0" w:noHBand="0" w:noVBand="1"/>
      </w:tblPr>
      <w:tblGrid>
        <w:gridCol w:w="821"/>
        <w:gridCol w:w="8479"/>
      </w:tblGrid>
      <w:tr w:rsidR="00C26380" w:rsidTr="00580506">
        <w:trPr>
          <w:trHeight w:val="394"/>
        </w:trPr>
        <w:tc>
          <w:tcPr>
            <w:tcW w:w="821" w:type="dxa"/>
            <w:tcBorders>
              <w:top w:val="single" w:sz="4" w:space="0" w:color="000000"/>
              <w:left w:val="single" w:sz="4" w:space="0" w:color="000000"/>
              <w:bottom w:val="single" w:sz="4" w:space="0" w:color="000000"/>
              <w:right w:val="nil"/>
            </w:tcBorders>
          </w:tcPr>
          <w:p w:rsidR="00C26380" w:rsidRDefault="005F7613">
            <w:pPr>
              <w:ind w:left="113"/>
            </w:pPr>
            <w:r>
              <w:rPr>
                <w:b/>
                <w:sz w:val="28"/>
              </w:rPr>
              <w:t>6</w:t>
            </w:r>
            <w:r w:rsidR="00455A63">
              <w:rPr>
                <w:b/>
                <w:sz w:val="28"/>
              </w:rPr>
              <w:t>.</w:t>
            </w:r>
            <w:r w:rsidR="00455A63">
              <w:rPr>
                <w:rFonts w:ascii="Arial" w:eastAsia="Arial" w:hAnsi="Arial" w:cs="Arial"/>
                <w:b/>
                <w:sz w:val="28"/>
              </w:rPr>
              <w:t xml:space="preserve"> </w:t>
            </w:r>
          </w:p>
        </w:tc>
        <w:tc>
          <w:tcPr>
            <w:tcW w:w="8479" w:type="dxa"/>
            <w:tcBorders>
              <w:top w:val="single" w:sz="4" w:space="0" w:color="000000"/>
              <w:left w:val="nil"/>
              <w:bottom w:val="single" w:sz="4" w:space="0" w:color="000000"/>
              <w:right w:val="single" w:sz="4" w:space="0" w:color="000000"/>
            </w:tcBorders>
          </w:tcPr>
          <w:p w:rsidR="00C26380" w:rsidRDefault="00455A63">
            <w:r>
              <w:rPr>
                <w:b/>
                <w:sz w:val="28"/>
              </w:rPr>
              <w:t xml:space="preserve">Požadavky na způsob zpracování ceny plnění </w:t>
            </w:r>
          </w:p>
        </w:tc>
      </w:tr>
    </w:tbl>
    <w:p w:rsidR="00EF4115" w:rsidRDefault="005F7613" w:rsidP="005F7613">
      <w:pPr>
        <w:pStyle w:val="Odstavecseseznamem"/>
        <w:spacing w:after="200" w:line="276" w:lineRule="auto"/>
        <w:ind w:left="284"/>
        <w:jc w:val="both"/>
        <w:outlineLvl w:val="1"/>
        <w:rPr>
          <w:rFonts w:cs="Arial"/>
        </w:rPr>
      </w:pPr>
      <w:r w:rsidRPr="005F7613">
        <w:rPr>
          <w:rFonts w:cs="Arial"/>
          <w:b/>
        </w:rPr>
        <w:t>6.1</w:t>
      </w:r>
      <w:r>
        <w:rPr>
          <w:rFonts w:cs="Arial"/>
        </w:rPr>
        <w:t xml:space="preserve"> </w:t>
      </w:r>
      <w:r w:rsidR="00580506" w:rsidRPr="00AE4FFF">
        <w:rPr>
          <w:rFonts w:cs="Arial"/>
          <w:b/>
        </w:rPr>
        <w:t>Nabídkovou cenou</w:t>
      </w:r>
      <w:r w:rsidR="00580506" w:rsidRPr="00580506">
        <w:rPr>
          <w:rFonts w:cs="Arial"/>
        </w:rPr>
        <w:t xml:space="preserve"> se rozumí celková výše </w:t>
      </w:r>
      <w:r w:rsidR="0009085C">
        <w:rPr>
          <w:rFonts w:cs="Arial"/>
        </w:rPr>
        <w:t xml:space="preserve">ročního </w:t>
      </w:r>
      <w:r w:rsidR="00580506" w:rsidRPr="00580506">
        <w:rPr>
          <w:rFonts w:cs="Arial"/>
        </w:rPr>
        <w:t xml:space="preserve">pojistného </w:t>
      </w:r>
      <w:r w:rsidR="0009085C">
        <w:rPr>
          <w:rFonts w:cs="Arial"/>
        </w:rPr>
        <w:t xml:space="preserve">a cena (pojistné) </w:t>
      </w:r>
      <w:r w:rsidR="00580506" w:rsidRPr="00580506">
        <w:rPr>
          <w:rFonts w:cs="Arial"/>
        </w:rPr>
        <w:t xml:space="preserve">za celou dobu plnění, tj. za </w:t>
      </w:r>
      <w:r w:rsidR="00EF4115">
        <w:rPr>
          <w:rFonts w:cs="Arial"/>
        </w:rPr>
        <w:t>12, 36 resp.</w:t>
      </w:r>
      <w:r w:rsidR="007B3568">
        <w:rPr>
          <w:rFonts w:cs="Arial"/>
        </w:rPr>
        <w:t xml:space="preserve"> </w:t>
      </w:r>
      <w:r w:rsidR="00580506" w:rsidRPr="00580506">
        <w:rPr>
          <w:rFonts w:cs="Arial"/>
        </w:rPr>
        <w:t>60 měsíců trvání pojištění.</w:t>
      </w:r>
      <w:r w:rsidR="00EF4115">
        <w:rPr>
          <w:rFonts w:cs="Arial"/>
        </w:rPr>
        <w:t xml:space="preserve"> </w:t>
      </w:r>
    </w:p>
    <w:p w:rsidR="00580506" w:rsidRDefault="00EF4115" w:rsidP="005F7613">
      <w:pPr>
        <w:pStyle w:val="Odstavecseseznamem"/>
        <w:spacing w:after="200" w:line="276" w:lineRule="auto"/>
        <w:ind w:left="284"/>
        <w:jc w:val="both"/>
        <w:outlineLvl w:val="1"/>
        <w:rPr>
          <w:rFonts w:cs="Arial"/>
        </w:rPr>
      </w:pPr>
      <w:proofErr w:type="gramStart"/>
      <w:r>
        <w:rPr>
          <w:rFonts w:cs="Arial"/>
          <w:b/>
        </w:rPr>
        <w:t xml:space="preserve">6.2  </w:t>
      </w:r>
      <w:r w:rsidRPr="00AE4FFF">
        <w:rPr>
          <w:rFonts w:cs="Arial"/>
          <w:b/>
        </w:rPr>
        <w:t>Pojistné</w:t>
      </w:r>
      <w:proofErr w:type="gramEnd"/>
      <w:r w:rsidRPr="00AE4FFF">
        <w:rPr>
          <w:rFonts w:cs="Arial"/>
          <w:b/>
        </w:rPr>
        <w:t xml:space="preserve"> období</w:t>
      </w:r>
      <w:r>
        <w:rPr>
          <w:rFonts w:cs="Arial"/>
        </w:rPr>
        <w:t xml:space="preserve"> bude shodné s dobou plnění</w:t>
      </w:r>
      <w:r w:rsidRPr="00EF4115">
        <w:rPr>
          <w:rFonts w:cs="Arial"/>
        </w:rPr>
        <w:t xml:space="preserve"> </w:t>
      </w:r>
      <w:r w:rsidRPr="00580506">
        <w:rPr>
          <w:rFonts w:cs="Arial"/>
        </w:rPr>
        <w:t xml:space="preserve">tj. za </w:t>
      </w:r>
      <w:r>
        <w:rPr>
          <w:rFonts w:cs="Arial"/>
        </w:rPr>
        <w:t>12, 36 resp.</w:t>
      </w:r>
      <w:r w:rsidR="007B3568">
        <w:rPr>
          <w:rFonts w:cs="Arial"/>
        </w:rPr>
        <w:t xml:space="preserve"> </w:t>
      </w:r>
      <w:r w:rsidRPr="00580506">
        <w:rPr>
          <w:rFonts w:cs="Arial"/>
        </w:rPr>
        <w:t>60 měsíců</w:t>
      </w:r>
    </w:p>
    <w:p w:rsidR="00580506" w:rsidRDefault="005F7613" w:rsidP="005F7613">
      <w:pPr>
        <w:pStyle w:val="Odstavecseseznamem"/>
        <w:spacing w:after="200" w:line="276" w:lineRule="auto"/>
        <w:ind w:left="284"/>
        <w:jc w:val="both"/>
        <w:outlineLvl w:val="1"/>
        <w:rPr>
          <w:rFonts w:cs="Arial"/>
        </w:rPr>
      </w:pPr>
      <w:r w:rsidRPr="005F7613">
        <w:rPr>
          <w:rFonts w:cs="Arial"/>
          <w:b/>
        </w:rPr>
        <w:t>6.3</w:t>
      </w:r>
      <w:r>
        <w:rPr>
          <w:rFonts w:cs="Arial"/>
        </w:rPr>
        <w:t xml:space="preserve"> </w:t>
      </w:r>
      <w:r w:rsidR="00580506" w:rsidRPr="00580506">
        <w:rPr>
          <w:rFonts w:cs="Arial"/>
        </w:rPr>
        <w:t xml:space="preserve">Nabídková cena bude stanovena jako celková částka v české měně za veškerá pojištění vymezená </w:t>
      </w:r>
      <w:r w:rsidR="00580506" w:rsidRPr="00262CFE">
        <w:rPr>
          <w:rFonts w:cs="Arial"/>
          <w:color w:val="auto"/>
        </w:rPr>
        <w:t xml:space="preserve">v přílohách </w:t>
      </w:r>
      <w:r w:rsidR="000E164B" w:rsidRPr="00262CFE">
        <w:rPr>
          <w:rFonts w:cs="Arial"/>
          <w:color w:val="auto"/>
        </w:rPr>
        <w:t>č. 1 až 9</w:t>
      </w:r>
      <w:r w:rsidR="00580506" w:rsidRPr="00262CFE">
        <w:rPr>
          <w:rFonts w:cs="Arial"/>
          <w:color w:val="auto"/>
        </w:rPr>
        <w:t xml:space="preserve"> této zadávací dokumentace </w:t>
      </w:r>
      <w:r w:rsidR="00580506" w:rsidRPr="00580506">
        <w:rPr>
          <w:rFonts w:cs="Arial"/>
        </w:rPr>
        <w:t>pro první rok trvání pojištění a za celou dobu trvání pojistné smlouvy. Nabídkovou cenu je uchazeč povinen uvést v návrhu smlouvy a dále v krycím listu nabídky.</w:t>
      </w:r>
    </w:p>
    <w:p w:rsidR="00580506" w:rsidRDefault="005F7613" w:rsidP="005F7613">
      <w:pPr>
        <w:pStyle w:val="Odstavecseseznamem"/>
        <w:spacing w:after="200" w:line="276" w:lineRule="auto"/>
        <w:ind w:left="284"/>
        <w:jc w:val="both"/>
        <w:outlineLvl w:val="1"/>
        <w:rPr>
          <w:rFonts w:cs="Arial"/>
        </w:rPr>
      </w:pPr>
      <w:proofErr w:type="gramStart"/>
      <w:r w:rsidRPr="005F7613">
        <w:rPr>
          <w:rFonts w:cs="Arial"/>
          <w:b/>
        </w:rPr>
        <w:t>6.4</w:t>
      </w:r>
      <w:r>
        <w:rPr>
          <w:rFonts w:cs="Arial"/>
        </w:rPr>
        <w:t xml:space="preserve">  </w:t>
      </w:r>
      <w:r w:rsidR="00580506" w:rsidRPr="00580506">
        <w:rPr>
          <w:rFonts w:cs="Arial"/>
        </w:rPr>
        <w:t>Nabídková</w:t>
      </w:r>
      <w:proofErr w:type="gramEnd"/>
      <w:r w:rsidR="00580506" w:rsidRPr="00580506">
        <w:rPr>
          <w:rFonts w:cs="Arial"/>
        </w:rPr>
        <w:t xml:space="preserve"> cena bude dále zpracována v členění dle jednotlivých pojistných produktů (pojištění krádeže, živelní pojištění atp.) v co nejvyšším možném detailu s uvedením ročního pojistného v Kč, včetně vyčíslení jednotlivých sazeb pro příslušné pojistné produkty (pojištění krádeže, živelní pojištění, atp.), vše v souladu se specifikací uvedenou v přílohách této zadávací dokumentace. </w:t>
      </w:r>
    </w:p>
    <w:p w:rsidR="00580506" w:rsidRDefault="005F7613" w:rsidP="005F7613">
      <w:pPr>
        <w:pStyle w:val="Odstavecseseznamem"/>
        <w:numPr>
          <w:ilvl w:val="1"/>
          <w:numId w:val="40"/>
        </w:numPr>
        <w:spacing w:after="200" w:line="276" w:lineRule="auto"/>
        <w:jc w:val="both"/>
        <w:outlineLvl w:val="1"/>
        <w:rPr>
          <w:rFonts w:cs="Arial"/>
        </w:rPr>
      </w:pPr>
      <w:bookmarkStart w:id="0" w:name="_Hlk511640114"/>
      <w:r>
        <w:rPr>
          <w:rFonts w:cs="Arial"/>
        </w:rPr>
        <w:t xml:space="preserve"> </w:t>
      </w:r>
      <w:r w:rsidR="00580506" w:rsidRPr="00580506">
        <w:rPr>
          <w:rFonts w:cs="Arial"/>
        </w:rPr>
        <w:t xml:space="preserve">Nabídková cena musí být stanovena bez vazby na změny kurzů zahraničních měn. </w:t>
      </w:r>
    </w:p>
    <w:bookmarkEnd w:id="0"/>
    <w:p w:rsidR="00580506" w:rsidRDefault="005F7613" w:rsidP="005F7613">
      <w:pPr>
        <w:pStyle w:val="Odstavecseseznamem"/>
        <w:spacing w:after="200" w:line="276" w:lineRule="auto"/>
        <w:ind w:left="284"/>
        <w:jc w:val="both"/>
        <w:outlineLvl w:val="1"/>
        <w:rPr>
          <w:rFonts w:cs="Arial"/>
        </w:rPr>
      </w:pPr>
      <w:r w:rsidRPr="005F7613">
        <w:rPr>
          <w:rFonts w:cs="Arial"/>
          <w:b/>
        </w:rPr>
        <w:t>6.6</w:t>
      </w:r>
      <w:r>
        <w:rPr>
          <w:rFonts w:cs="Arial"/>
        </w:rPr>
        <w:t xml:space="preserve"> </w:t>
      </w:r>
      <w:r w:rsidR="00580506" w:rsidRPr="00580506">
        <w:rPr>
          <w:rFonts w:cs="Arial"/>
        </w:rPr>
        <w:t xml:space="preserve">Nabídková cena (resp. jednotlivé sazby pojistného) bude stanovena jako cena „nejvýše přípustná“ a musí v ní být zahrnuty veškeré náklady spojené s realizací předmětu veřejné zakázky; tím není dotčena možnost </w:t>
      </w:r>
      <w:r w:rsidR="00580506" w:rsidRPr="00574D25">
        <w:rPr>
          <w:rFonts w:cs="Arial"/>
          <w:color w:val="000000" w:themeColor="text1"/>
        </w:rPr>
        <w:t xml:space="preserve">využití hodnoty vyhrazeného plnění. </w:t>
      </w:r>
    </w:p>
    <w:p w:rsidR="00580506" w:rsidRDefault="005F7613" w:rsidP="005F7613">
      <w:pPr>
        <w:pStyle w:val="Odstavecseseznamem"/>
        <w:spacing w:after="200" w:line="276" w:lineRule="auto"/>
        <w:ind w:left="284"/>
        <w:jc w:val="both"/>
        <w:outlineLvl w:val="1"/>
        <w:rPr>
          <w:rFonts w:cs="Arial"/>
        </w:rPr>
      </w:pPr>
      <w:proofErr w:type="gramStart"/>
      <w:r w:rsidRPr="005F7613">
        <w:rPr>
          <w:rFonts w:cs="Arial"/>
          <w:b/>
        </w:rPr>
        <w:t>6.7</w:t>
      </w:r>
      <w:r>
        <w:rPr>
          <w:rFonts w:cs="Arial"/>
        </w:rPr>
        <w:t xml:space="preserve">  </w:t>
      </w:r>
      <w:r w:rsidR="00580506" w:rsidRPr="00580506">
        <w:rPr>
          <w:rFonts w:cs="Arial"/>
        </w:rPr>
        <w:t>Pokud</w:t>
      </w:r>
      <w:proofErr w:type="gramEnd"/>
      <w:r w:rsidR="00580506" w:rsidRPr="00580506">
        <w:rPr>
          <w:rFonts w:cs="Arial"/>
        </w:rPr>
        <w:t xml:space="preserve"> mají být do nabídky zahrnuty slevy z ceny, budou přímo promítnuty do nabídkové ceny (do výše hodnoty definovaného pojistného). Jiná forma slevy z nabídkové ceny (např. paušální částkou za celé pojištění) není přípustná; tím není dotčena povinnost uchazeče poskytnout slevu za příznivý škodní průběh dle podmínek této zadávací dokumentace.</w:t>
      </w:r>
    </w:p>
    <w:p w:rsidR="00580506" w:rsidRDefault="005F7613" w:rsidP="005F7613">
      <w:pPr>
        <w:pStyle w:val="Odstavecseseznamem"/>
        <w:spacing w:after="200" w:line="276" w:lineRule="auto"/>
        <w:ind w:left="284"/>
        <w:jc w:val="both"/>
        <w:outlineLvl w:val="1"/>
        <w:rPr>
          <w:rFonts w:cs="Arial"/>
        </w:rPr>
      </w:pPr>
      <w:proofErr w:type="gramStart"/>
      <w:r w:rsidRPr="005F7613">
        <w:rPr>
          <w:rFonts w:cs="Arial"/>
          <w:b/>
        </w:rPr>
        <w:t>6.8</w:t>
      </w:r>
      <w:r>
        <w:rPr>
          <w:rFonts w:cs="Arial"/>
        </w:rPr>
        <w:t xml:space="preserve">  </w:t>
      </w:r>
      <w:r w:rsidR="00580506" w:rsidRPr="00580506">
        <w:rPr>
          <w:rFonts w:cs="Arial"/>
        </w:rPr>
        <w:t>Rekapitulace</w:t>
      </w:r>
      <w:proofErr w:type="gramEnd"/>
      <w:r w:rsidR="00580506" w:rsidRPr="00580506">
        <w:rPr>
          <w:rFonts w:cs="Arial"/>
        </w:rPr>
        <w:t xml:space="preserve"> pojistného, oceněná specifikace jednotlivých pojistných produktů, včetně sazeb pojistného, musí být součástí nabídky uchazeče a bude tvořit příslušné přílohy pojistných smluv zpracovaných </w:t>
      </w:r>
      <w:r w:rsidR="00DE7B08" w:rsidRPr="00262CFE">
        <w:rPr>
          <w:rFonts w:cs="Arial"/>
          <w:color w:val="auto"/>
        </w:rPr>
        <w:t>dle příloh č. 1 až 9</w:t>
      </w:r>
      <w:r w:rsidR="00580506" w:rsidRPr="00262CFE">
        <w:rPr>
          <w:rFonts w:cs="Arial"/>
          <w:color w:val="auto"/>
        </w:rPr>
        <w:t xml:space="preserve"> zadávací dokumentace. </w:t>
      </w:r>
    </w:p>
    <w:p w:rsidR="00580506" w:rsidRDefault="005F7613" w:rsidP="005F7613">
      <w:pPr>
        <w:pStyle w:val="Odstavecseseznamem"/>
        <w:numPr>
          <w:ilvl w:val="1"/>
          <w:numId w:val="41"/>
        </w:numPr>
        <w:spacing w:after="200" w:line="276" w:lineRule="auto"/>
        <w:jc w:val="both"/>
        <w:outlineLvl w:val="1"/>
        <w:rPr>
          <w:rFonts w:cs="Arial"/>
        </w:rPr>
      </w:pPr>
      <w:r>
        <w:rPr>
          <w:rFonts w:cs="Arial"/>
        </w:rPr>
        <w:t xml:space="preserve"> </w:t>
      </w:r>
      <w:r w:rsidR="00580506" w:rsidRPr="00580506">
        <w:rPr>
          <w:rFonts w:cs="Arial"/>
        </w:rPr>
        <w:t>Dodavatel (pojistitel) je oprávněn v průběhu doby trvání pojištění snížit výši pojistného.</w:t>
      </w:r>
    </w:p>
    <w:p w:rsidR="00580506" w:rsidRPr="00580506" w:rsidRDefault="005F7613" w:rsidP="005F7613">
      <w:pPr>
        <w:pStyle w:val="Odstavecseseznamem"/>
        <w:spacing w:after="200" w:line="276" w:lineRule="auto"/>
        <w:ind w:left="284"/>
        <w:jc w:val="both"/>
        <w:outlineLvl w:val="1"/>
        <w:rPr>
          <w:rFonts w:cs="Arial"/>
        </w:rPr>
      </w:pPr>
      <w:r w:rsidRPr="005F7613">
        <w:rPr>
          <w:rFonts w:cs="Arial"/>
          <w:b/>
        </w:rPr>
        <w:t>6.10</w:t>
      </w:r>
      <w:r>
        <w:rPr>
          <w:rFonts w:cs="Arial"/>
        </w:rPr>
        <w:t xml:space="preserve"> </w:t>
      </w:r>
      <w:r w:rsidR="00580506" w:rsidRPr="00580506">
        <w:rPr>
          <w:rFonts w:cs="Arial"/>
        </w:rPr>
        <w:t>Zadavatel je oprávněn požadovat dopojištění limitů plnění/</w:t>
      </w:r>
      <w:proofErr w:type="spellStart"/>
      <w:r w:rsidR="00580506" w:rsidRPr="00580506">
        <w:rPr>
          <w:rFonts w:cs="Arial"/>
        </w:rPr>
        <w:t>sublimitů</w:t>
      </w:r>
      <w:proofErr w:type="spellEnd"/>
      <w:r w:rsidR="00580506" w:rsidRPr="00580506">
        <w:rPr>
          <w:rFonts w:cs="Arial"/>
        </w:rPr>
        <w:t xml:space="preserve"> plnění a připojištění nově pořízených vozidel (blíže viz obchodní podmínky obsažené v přílohách zadávací dokumentace). V této souvislosti zadavatel preferuje</w:t>
      </w:r>
      <w:r w:rsidR="00580506" w:rsidRPr="00580506">
        <w:rPr>
          <w:rFonts w:ascii="Arial" w:hAnsi="Arial" w:cs="Arial"/>
        </w:rPr>
        <w:t xml:space="preserve"> </w:t>
      </w:r>
      <w:r w:rsidR="00580506" w:rsidRPr="00580506">
        <w:rPr>
          <w:rFonts w:cs="Arial"/>
        </w:rPr>
        <w:t>co možná nejpodrobnější rozsah/specifikaci jednotlivých sazeb v nabídce dodavatele.</w:t>
      </w:r>
    </w:p>
    <w:p w:rsidR="00580506" w:rsidRDefault="005F7613" w:rsidP="005F7613">
      <w:pPr>
        <w:pStyle w:val="Odstavecseseznamem"/>
        <w:spacing w:after="200" w:line="276" w:lineRule="auto"/>
        <w:ind w:left="284"/>
        <w:jc w:val="both"/>
        <w:outlineLvl w:val="1"/>
        <w:rPr>
          <w:rFonts w:cs="Arial"/>
          <w:bCs/>
        </w:rPr>
      </w:pPr>
      <w:r w:rsidRPr="005F7613">
        <w:rPr>
          <w:rFonts w:cs="Arial"/>
          <w:b/>
          <w:bCs/>
        </w:rPr>
        <w:t>6.11</w:t>
      </w:r>
      <w:r>
        <w:rPr>
          <w:rFonts w:cs="Arial"/>
          <w:bCs/>
        </w:rPr>
        <w:t xml:space="preserve"> </w:t>
      </w:r>
      <w:r w:rsidR="00580506" w:rsidRPr="00580506">
        <w:rPr>
          <w:rFonts w:cs="Arial"/>
          <w:bCs/>
        </w:rPr>
        <w:t>Podmínky, za nichž je možno upravit výši nabídkové ceny, jsou obsaženy v obchodních podmínkách zadavatele, které js</w:t>
      </w:r>
      <w:r w:rsidR="00580506">
        <w:rPr>
          <w:rFonts w:cs="Arial"/>
          <w:bCs/>
        </w:rPr>
        <w:t xml:space="preserve">ou uvedeny </w:t>
      </w:r>
      <w:r w:rsidR="00580506" w:rsidRPr="00262CFE">
        <w:rPr>
          <w:rFonts w:cs="Arial"/>
          <w:bCs/>
          <w:color w:val="auto"/>
        </w:rPr>
        <w:t xml:space="preserve">v přílohách č. 1 až </w:t>
      </w:r>
      <w:r w:rsidR="006508AC">
        <w:rPr>
          <w:rFonts w:cs="Arial"/>
          <w:bCs/>
          <w:color w:val="auto"/>
        </w:rPr>
        <w:t>9</w:t>
      </w:r>
      <w:r w:rsidR="00580506" w:rsidRPr="00262CFE">
        <w:rPr>
          <w:rFonts w:cs="Arial"/>
          <w:bCs/>
          <w:color w:val="auto"/>
        </w:rPr>
        <w:t xml:space="preserve"> této zadávací dokumentace. </w:t>
      </w:r>
      <w:r w:rsidR="00580506" w:rsidRPr="00580506">
        <w:rPr>
          <w:rFonts w:cs="Arial"/>
          <w:bCs/>
        </w:rPr>
        <w:t xml:space="preserve">Jakékoliv další překročení nabídkové ceny (resp. jednotlivých sazeb pojistného) zadavatel nepřipouští; uvedeným není dotčen postup při </w:t>
      </w:r>
      <w:r w:rsidR="00580506">
        <w:rPr>
          <w:rFonts w:cs="Arial"/>
          <w:bCs/>
        </w:rPr>
        <w:t>využití hodnoty vyhrazeného plnění a dle odst. 2.3</w:t>
      </w:r>
      <w:r w:rsidR="00580506" w:rsidRPr="00580506">
        <w:rPr>
          <w:rFonts w:cs="Arial"/>
          <w:bCs/>
        </w:rPr>
        <w:t>. zadávací dokumentace.</w:t>
      </w:r>
    </w:p>
    <w:p w:rsidR="00C26380" w:rsidRDefault="005F7613" w:rsidP="00574D25">
      <w:pPr>
        <w:pStyle w:val="Odstavecseseznamem"/>
        <w:spacing w:after="200" w:line="276" w:lineRule="auto"/>
        <w:ind w:left="284"/>
        <w:jc w:val="both"/>
        <w:outlineLvl w:val="1"/>
        <w:rPr>
          <w:rFonts w:cs="Arial"/>
          <w:bCs/>
        </w:rPr>
      </w:pPr>
      <w:r w:rsidRPr="005F7613">
        <w:rPr>
          <w:rFonts w:cs="Arial"/>
          <w:b/>
          <w:bCs/>
        </w:rPr>
        <w:t>6.12</w:t>
      </w:r>
      <w:r>
        <w:rPr>
          <w:rFonts w:cs="Arial"/>
          <w:bCs/>
        </w:rPr>
        <w:t xml:space="preserve"> </w:t>
      </w:r>
      <w:r w:rsidR="00580506" w:rsidRPr="00580506">
        <w:rPr>
          <w:rFonts w:cs="Arial"/>
          <w:bCs/>
        </w:rPr>
        <w:t xml:space="preserve">Zadavatel nepřipouští nárůst nabídkové ceny (resp. jednotlivých sazeb pojistného) v důsledku inflace, změny měnových kurzů či v důsledku změny dalších parametrů, které mají vliv na vývoj ceny pojištění. </w:t>
      </w:r>
    </w:p>
    <w:p w:rsidR="00E13B9E" w:rsidRDefault="00E13B9E" w:rsidP="00574D25">
      <w:pPr>
        <w:pStyle w:val="Odstavecseseznamem"/>
        <w:spacing w:after="200" w:line="276" w:lineRule="auto"/>
        <w:ind w:left="284"/>
        <w:jc w:val="both"/>
        <w:outlineLvl w:val="1"/>
        <w:rPr>
          <w:rFonts w:cs="Arial"/>
          <w:bCs/>
        </w:rPr>
      </w:pPr>
    </w:p>
    <w:p w:rsidR="00E13B9E" w:rsidRDefault="00E13B9E" w:rsidP="00574D25">
      <w:pPr>
        <w:pStyle w:val="Odstavecseseznamem"/>
        <w:spacing w:after="200" w:line="276" w:lineRule="auto"/>
        <w:ind w:left="284"/>
        <w:jc w:val="both"/>
        <w:outlineLvl w:val="1"/>
        <w:rPr>
          <w:rFonts w:cs="Arial"/>
          <w:bCs/>
        </w:rPr>
      </w:pPr>
    </w:p>
    <w:p w:rsidR="00FD75E2" w:rsidRDefault="00FD75E2" w:rsidP="00574D25">
      <w:pPr>
        <w:pStyle w:val="Odstavecseseznamem"/>
        <w:spacing w:after="200" w:line="276" w:lineRule="auto"/>
        <w:ind w:left="284"/>
        <w:jc w:val="both"/>
        <w:outlineLvl w:val="1"/>
        <w:rPr>
          <w:rFonts w:cs="Arial"/>
          <w:bCs/>
        </w:rPr>
      </w:pPr>
    </w:p>
    <w:p w:rsidR="00EE2B95" w:rsidRDefault="00EE2B95" w:rsidP="00574D25">
      <w:pPr>
        <w:pStyle w:val="Odstavecseseznamem"/>
        <w:spacing w:after="200" w:line="276" w:lineRule="auto"/>
        <w:ind w:left="284"/>
        <w:jc w:val="both"/>
        <w:outlineLvl w:val="1"/>
        <w:rPr>
          <w:rFonts w:cs="Arial"/>
          <w:bCs/>
        </w:rPr>
      </w:pPr>
    </w:p>
    <w:p w:rsidR="00EE2B95" w:rsidRDefault="00EE2B95" w:rsidP="00574D25">
      <w:pPr>
        <w:pStyle w:val="Odstavecseseznamem"/>
        <w:spacing w:after="200" w:line="276" w:lineRule="auto"/>
        <w:ind w:left="284"/>
        <w:jc w:val="both"/>
        <w:outlineLvl w:val="1"/>
        <w:rPr>
          <w:rFonts w:cs="Arial"/>
          <w:bCs/>
        </w:rPr>
      </w:pPr>
    </w:p>
    <w:p w:rsidR="00EE2B95" w:rsidRDefault="00EE2B95" w:rsidP="00574D25">
      <w:pPr>
        <w:pStyle w:val="Odstavecseseznamem"/>
        <w:spacing w:after="200" w:line="276" w:lineRule="auto"/>
        <w:ind w:left="284"/>
        <w:jc w:val="both"/>
        <w:outlineLvl w:val="1"/>
        <w:rPr>
          <w:rFonts w:cs="Arial"/>
          <w:bCs/>
        </w:rPr>
      </w:pPr>
    </w:p>
    <w:p w:rsidR="00EE2B95" w:rsidRDefault="00EE2B95" w:rsidP="00574D25">
      <w:pPr>
        <w:pStyle w:val="Odstavecseseznamem"/>
        <w:spacing w:after="200" w:line="276" w:lineRule="auto"/>
        <w:ind w:left="284"/>
        <w:jc w:val="both"/>
        <w:outlineLvl w:val="1"/>
        <w:rPr>
          <w:rFonts w:cs="Arial"/>
          <w:bCs/>
        </w:rPr>
      </w:pPr>
    </w:p>
    <w:p w:rsidR="00EE2B95" w:rsidRPr="00574D25" w:rsidRDefault="00EE2B95" w:rsidP="00574D25">
      <w:pPr>
        <w:pStyle w:val="Odstavecseseznamem"/>
        <w:spacing w:after="200" w:line="276" w:lineRule="auto"/>
        <w:ind w:left="284"/>
        <w:jc w:val="both"/>
        <w:outlineLvl w:val="1"/>
        <w:rPr>
          <w:rFonts w:cs="Arial"/>
          <w:bCs/>
        </w:rPr>
      </w:pPr>
    </w:p>
    <w:tbl>
      <w:tblPr>
        <w:tblStyle w:val="TableGrid"/>
        <w:tblW w:w="9300" w:type="dxa"/>
        <w:tblInd w:w="-113" w:type="dxa"/>
        <w:tblCellMar>
          <w:top w:w="71" w:type="dxa"/>
          <w:right w:w="115" w:type="dxa"/>
        </w:tblCellMar>
        <w:tblLook w:val="04A0" w:firstRow="1" w:lastRow="0" w:firstColumn="1" w:lastColumn="0" w:noHBand="0" w:noVBand="1"/>
      </w:tblPr>
      <w:tblGrid>
        <w:gridCol w:w="821"/>
        <w:gridCol w:w="8479"/>
      </w:tblGrid>
      <w:tr w:rsidR="00C26380">
        <w:trPr>
          <w:trHeight w:val="394"/>
        </w:trPr>
        <w:tc>
          <w:tcPr>
            <w:tcW w:w="821" w:type="dxa"/>
            <w:tcBorders>
              <w:top w:val="single" w:sz="4" w:space="0" w:color="000000"/>
              <w:left w:val="single" w:sz="4" w:space="0" w:color="000000"/>
              <w:bottom w:val="single" w:sz="4" w:space="0" w:color="000000"/>
              <w:right w:val="nil"/>
            </w:tcBorders>
          </w:tcPr>
          <w:p w:rsidR="00C26380" w:rsidRDefault="005F7613">
            <w:pPr>
              <w:ind w:left="113"/>
            </w:pPr>
            <w:r>
              <w:rPr>
                <w:b/>
                <w:sz w:val="28"/>
              </w:rPr>
              <w:lastRenderedPageBreak/>
              <w:t>7</w:t>
            </w:r>
            <w:r w:rsidR="00455A63">
              <w:rPr>
                <w:b/>
                <w:sz w:val="28"/>
              </w:rPr>
              <w:t>.</w:t>
            </w:r>
            <w:r w:rsidR="00455A63">
              <w:rPr>
                <w:rFonts w:ascii="Arial" w:eastAsia="Arial" w:hAnsi="Arial" w:cs="Arial"/>
                <w:b/>
                <w:sz w:val="28"/>
              </w:rPr>
              <w:t xml:space="preserve"> </w:t>
            </w:r>
          </w:p>
        </w:tc>
        <w:tc>
          <w:tcPr>
            <w:tcW w:w="8478" w:type="dxa"/>
            <w:tcBorders>
              <w:top w:val="single" w:sz="4" w:space="0" w:color="000000"/>
              <w:left w:val="nil"/>
              <w:bottom w:val="single" w:sz="4" w:space="0" w:color="000000"/>
              <w:right w:val="single" w:sz="4" w:space="0" w:color="000000"/>
            </w:tcBorders>
          </w:tcPr>
          <w:p w:rsidR="00C26380" w:rsidRDefault="00455A63">
            <w:r>
              <w:rPr>
                <w:b/>
                <w:sz w:val="28"/>
              </w:rPr>
              <w:t xml:space="preserve">Hodnocení nabídek </w:t>
            </w:r>
          </w:p>
        </w:tc>
      </w:tr>
    </w:tbl>
    <w:p w:rsidR="00C26380" w:rsidRDefault="00455A63">
      <w:pPr>
        <w:pStyle w:val="Nadpis1"/>
        <w:ind w:left="-5"/>
      </w:pPr>
      <w:r>
        <w:t>Ekonomická výhodnost nabídek</w:t>
      </w:r>
      <w:r>
        <w:rPr>
          <w:u w:val="none"/>
        </w:rPr>
        <w:t xml:space="preserve"> </w:t>
      </w:r>
    </w:p>
    <w:p w:rsidR="006B7964" w:rsidRPr="00191E3D" w:rsidRDefault="005F7613" w:rsidP="00191E3D">
      <w:pPr>
        <w:spacing w:after="263" w:line="248" w:lineRule="auto"/>
        <w:ind w:left="-5" w:hanging="10"/>
        <w:jc w:val="both"/>
      </w:pPr>
      <w:r w:rsidRPr="00191E3D">
        <w:rPr>
          <w:b/>
        </w:rPr>
        <w:t>7</w:t>
      </w:r>
      <w:r w:rsidR="00455A63" w:rsidRPr="00191E3D">
        <w:rPr>
          <w:b/>
        </w:rPr>
        <w:t>.1</w:t>
      </w:r>
      <w:r w:rsidR="00455A63" w:rsidRPr="00191E3D">
        <w:rPr>
          <w:rFonts w:eastAsia="Arial" w:cs="Arial"/>
          <w:b/>
        </w:rPr>
        <w:t xml:space="preserve"> </w:t>
      </w:r>
      <w:r w:rsidR="00455A63" w:rsidRPr="00191E3D">
        <w:t xml:space="preserve">Hodnocení nabídek bude provedeno v souladu s § 114 odst. 1 zákona podle jejich ekonomické výhodnosti.  </w:t>
      </w:r>
    </w:p>
    <w:p w:rsidR="006B7964" w:rsidRPr="00574D25" w:rsidRDefault="00191E3D" w:rsidP="006B7964">
      <w:pPr>
        <w:spacing w:after="200" w:line="276" w:lineRule="auto"/>
        <w:jc w:val="both"/>
        <w:outlineLvl w:val="0"/>
        <w:rPr>
          <w:rFonts w:cs="Arial"/>
          <w:color w:val="auto"/>
        </w:rPr>
      </w:pPr>
      <w:bookmarkStart w:id="1" w:name="_Toc263868773"/>
      <w:bookmarkStart w:id="2" w:name="_Toc264302159"/>
      <w:bookmarkStart w:id="3" w:name="_Toc265507549"/>
      <w:bookmarkStart w:id="4" w:name="_Toc266955679"/>
      <w:bookmarkStart w:id="5" w:name="_Toc279297820"/>
      <w:bookmarkStart w:id="6" w:name="_Hlk511641570"/>
      <w:r w:rsidRPr="00E114B6">
        <w:rPr>
          <w:rFonts w:cs="Arial"/>
          <w:b/>
          <w:color w:val="auto"/>
        </w:rPr>
        <w:t xml:space="preserve"> </w:t>
      </w:r>
      <w:r w:rsidR="00225978" w:rsidRPr="00E114B6">
        <w:rPr>
          <w:rFonts w:cs="Arial"/>
          <w:b/>
          <w:color w:val="auto"/>
        </w:rPr>
        <w:t>7</w:t>
      </w:r>
      <w:r w:rsidR="006B7964" w:rsidRPr="00E114B6">
        <w:rPr>
          <w:rFonts w:cs="Arial"/>
          <w:b/>
          <w:color w:val="auto"/>
        </w:rPr>
        <w:t>.2</w:t>
      </w:r>
      <w:r w:rsidR="00225978" w:rsidRPr="00574D25">
        <w:rPr>
          <w:rFonts w:cs="Arial"/>
          <w:color w:val="auto"/>
        </w:rPr>
        <w:t xml:space="preserve">. </w:t>
      </w:r>
      <w:r w:rsidR="006B7964" w:rsidRPr="00574D25">
        <w:rPr>
          <w:rFonts w:cs="Arial"/>
          <w:color w:val="auto"/>
        </w:rPr>
        <w:t xml:space="preserve">Nabídky </w:t>
      </w:r>
      <w:r w:rsidR="0073412B">
        <w:rPr>
          <w:rFonts w:cs="Arial"/>
          <w:color w:val="auto"/>
        </w:rPr>
        <w:t xml:space="preserve">pro část a) </w:t>
      </w:r>
      <w:r w:rsidR="006B7964" w:rsidRPr="00574D25">
        <w:rPr>
          <w:rFonts w:cs="Arial"/>
          <w:color w:val="auto"/>
        </w:rPr>
        <w:t xml:space="preserve">budou hodnoceny v souladu s ustanovením </w:t>
      </w:r>
      <w:r w:rsidR="005D3849" w:rsidRPr="00574D25">
        <w:rPr>
          <w:color w:val="auto"/>
        </w:rPr>
        <w:t xml:space="preserve">s § 114 odst. 1 zákona podle jejich ekonomické výhodnosti a </w:t>
      </w:r>
      <w:r w:rsidR="006B7964" w:rsidRPr="00574D25">
        <w:rPr>
          <w:rFonts w:cs="Arial"/>
          <w:color w:val="auto"/>
        </w:rPr>
        <w:t>následujících dílčích hodnotících kritérií, kterým jsou přiřazeny uvedené váhy:</w:t>
      </w:r>
      <w:bookmarkEnd w:id="1"/>
      <w:bookmarkEnd w:id="2"/>
      <w:bookmarkEnd w:id="3"/>
      <w:bookmarkEnd w:id="4"/>
      <w:bookmarkEnd w:id="5"/>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5027"/>
        <w:gridCol w:w="3118"/>
      </w:tblGrid>
      <w:tr w:rsidR="00574D25" w:rsidRPr="00574D25" w:rsidTr="006B7964">
        <w:trPr>
          <w:cantSplit/>
        </w:trPr>
        <w:tc>
          <w:tcPr>
            <w:tcW w:w="5670" w:type="dxa"/>
            <w:gridSpan w:val="2"/>
            <w:shd w:val="clear" w:color="auto" w:fill="E6E6E6"/>
            <w:vAlign w:val="center"/>
          </w:tcPr>
          <w:p w:rsidR="006B7964" w:rsidRPr="00574D25" w:rsidRDefault="006B7964" w:rsidP="006B7964">
            <w:pPr>
              <w:spacing w:before="120" w:line="276" w:lineRule="auto"/>
              <w:jc w:val="both"/>
              <w:rPr>
                <w:rFonts w:cs="Arial"/>
                <w:b/>
                <w:bCs/>
                <w:color w:val="auto"/>
              </w:rPr>
            </w:pPr>
            <w:r w:rsidRPr="00574D25">
              <w:rPr>
                <w:rFonts w:cs="Arial"/>
                <w:b/>
                <w:bCs/>
                <w:color w:val="auto"/>
              </w:rPr>
              <w:t>Dílčí hodnotící kritéria</w:t>
            </w:r>
          </w:p>
        </w:tc>
        <w:tc>
          <w:tcPr>
            <w:tcW w:w="3118" w:type="dxa"/>
            <w:shd w:val="clear" w:color="auto" w:fill="E6E6E6"/>
            <w:vAlign w:val="center"/>
          </w:tcPr>
          <w:p w:rsidR="006B7964" w:rsidRPr="00574D25" w:rsidRDefault="006B7964" w:rsidP="006B7964">
            <w:pPr>
              <w:spacing w:before="120" w:line="276" w:lineRule="auto"/>
              <w:jc w:val="both"/>
              <w:rPr>
                <w:rFonts w:cs="Arial"/>
                <w:b/>
                <w:bCs/>
                <w:iCs/>
                <w:color w:val="auto"/>
              </w:rPr>
            </w:pPr>
            <w:r w:rsidRPr="00574D25">
              <w:rPr>
                <w:rFonts w:cs="Arial"/>
                <w:b/>
                <w:bCs/>
                <w:iCs/>
                <w:color w:val="auto"/>
              </w:rPr>
              <w:t>Váha kritéria</w:t>
            </w:r>
          </w:p>
        </w:tc>
      </w:tr>
      <w:tr w:rsidR="00574D25" w:rsidRPr="00574D25" w:rsidTr="006B7964">
        <w:trPr>
          <w:trHeight w:val="429"/>
        </w:trPr>
        <w:tc>
          <w:tcPr>
            <w:tcW w:w="643" w:type="dxa"/>
            <w:vAlign w:val="center"/>
          </w:tcPr>
          <w:p w:rsidR="006B7964" w:rsidRPr="00574D25" w:rsidRDefault="006B7964" w:rsidP="006B7964">
            <w:pPr>
              <w:spacing w:before="120" w:line="276" w:lineRule="auto"/>
              <w:jc w:val="both"/>
              <w:rPr>
                <w:rFonts w:cs="Arial"/>
                <w:color w:val="auto"/>
              </w:rPr>
            </w:pPr>
            <w:r w:rsidRPr="00574D25">
              <w:rPr>
                <w:rFonts w:cs="Arial"/>
                <w:color w:val="auto"/>
              </w:rPr>
              <w:t>1.</w:t>
            </w:r>
          </w:p>
        </w:tc>
        <w:tc>
          <w:tcPr>
            <w:tcW w:w="5027" w:type="dxa"/>
            <w:vAlign w:val="center"/>
          </w:tcPr>
          <w:p w:rsidR="006B7964" w:rsidRPr="00574D25" w:rsidRDefault="006B7964" w:rsidP="006B7964">
            <w:pPr>
              <w:spacing w:before="120" w:line="276" w:lineRule="auto"/>
              <w:jc w:val="both"/>
              <w:rPr>
                <w:rFonts w:cs="Arial"/>
                <w:color w:val="auto"/>
              </w:rPr>
            </w:pPr>
            <w:r w:rsidRPr="00574D25">
              <w:rPr>
                <w:rFonts w:cs="Arial"/>
                <w:color w:val="auto"/>
              </w:rPr>
              <w:t>Nabídková cena</w:t>
            </w:r>
          </w:p>
        </w:tc>
        <w:tc>
          <w:tcPr>
            <w:tcW w:w="3118" w:type="dxa"/>
            <w:vAlign w:val="center"/>
          </w:tcPr>
          <w:p w:rsidR="006B7964" w:rsidRPr="00574D25" w:rsidRDefault="006B7964" w:rsidP="006B7964">
            <w:pPr>
              <w:spacing w:before="120" w:line="276" w:lineRule="auto"/>
              <w:jc w:val="both"/>
              <w:rPr>
                <w:rFonts w:cs="Arial"/>
                <w:color w:val="auto"/>
              </w:rPr>
            </w:pPr>
            <w:r w:rsidRPr="00574D25">
              <w:rPr>
                <w:rFonts w:cs="Arial"/>
                <w:color w:val="auto"/>
              </w:rPr>
              <w:t>70 %</w:t>
            </w:r>
          </w:p>
        </w:tc>
      </w:tr>
      <w:tr w:rsidR="00574D25" w:rsidRPr="00574D25" w:rsidTr="006B7964">
        <w:tc>
          <w:tcPr>
            <w:tcW w:w="643" w:type="dxa"/>
            <w:vAlign w:val="center"/>
          </w:tcPr>
          <w:p w:rsidR="006B7964" w:rsidRPr="00574D25" w:rsidRDefault="006B7964" w:rsidP="006B7964">
            <w:pPr>
              <w:spacing w:before="120" w:line="276" w:lineRule="auto"/>
              <w:jc w:val="both"/>
              <w:rPr>
                <w:rFonts w:cs="Arial"/>
                <w:color w:val="auto"/>
              </w:rPr>
            </w:pPr>
            <w:r w:rsidRPr="00574D25">
              <w:rPr>
                <w:rFonts w:cs="Arial"/>
                <w:color w:val="auto"/>
              </w:rPr>
              <w:t>2.</w:t>
            </w:r>
          </w:p>
        </w:tc>
        <w:tc>
          <w:tcPr>
            <w:tcW w:w="5027" w:type="dxa"/>
          </w:tcPr>
          <w:p w:rsidR="006B7964" w:rsidRPr="00574D25" w:rsidRDefault="006B7964" w:rsidP="006B7964">
            <w:pPr>
              <w:spacing w:before="120" w:line="276" w:lineRule="auto"/>
              <w:jc w:val="both"/>
              <w:rPr>
                <w:rFonts w:cs="Arial"/>
                <w:color w:val="auto"/>
              </w:rPr>
            </w:pPr>
            <w:r w:rsidRPr="00574D25">
              <w:rPr>
                <w:rFonts w:cs="Arial"/>
                <w:color w:val="auto"/>
              </w:rPr>
              <w:t>Poskytnutí vyšších limitů pojistného</w:t>
            </w:r>
            <w:r w:rsidR="0073412B">
              <w:rPr>
                <w:rFonts w:cs="Arial"/>
                <w:color w:val="auto"/>
              </w:rPr>
              <w:t xml:space="preserve"> plnění než požadované limity</w:t>
            </w:r>
            <w:r w:rsidR="0009085C">
              <w:rPr>
                <w:rFonts w:cs="Arial"/>
                <w:color w:val="auto"/>
              </w:rPr>
              <w:t xml:space="preserve"> u pojistného nebezpečí záplava a povodeň</w:t>
            </w:r>
          </w:p>
        </w:tc>
        <w:tc>
          <w:tcPr>
            <w:tcW w:w="3118" w:type="dxa"/>
            <w:vAlign w:val="center"/>
          </w:tcPr>
          <w:p w:rsidR="006B7964" w:rsidRPr="00574D25" w:rsidRDefault="006B7964" w:rsidP="006B7964">
            <w:pPr>
              <w:spacing w:before="120" w:line="276" w:lineRule="auto"/>
              <w:jc w:val="both"/>
              <w:rPr>
                <w:rFonts w:cs="Arial"/>
                <w:color w:val="auto"/>
              </w:rPr>
            </w:pPr>
            <w:r w:rsidRPr="00574D25">
              <w:rPr>
                <w:rFonts w:cs="Arial"/>
                <w:color w:val="auto"/>
              </w:rPr>
              <w:t>20 %</w:t>
            </w:r>
          </w:p>
        </w:tc>
      </w:tr>
      <w:tr w:rsidR="006B7964" w:rsidRPr="00574D25" w:rsidTr="006B7964">
        <w:tc>
          <w:tcPr>
            <w:tcW w:w="643" w:type="dxa"/>
            <w:vAlign w:val="center"/>
          </w:tcPr>
          <w:p w:rsidR="006B7964" w:rsidRPr="00574D25" w:rsidRDefault="006B7964" w:rsidP="006B7964">
            <w:pPr>
              <w:spacing w:before="120" w:line="276" w:lineRule="auto"/>
              <w:jc w:val="both"/>
              <w:rPr>
                <w:rFonts w:cs="Arial"/>
                <w:color w:val="auto"/>
              </w:rPr>
            </w:pPr>
            <w:r w:rsidRPr="00574D25">
              <w:rPr>
                <w:rFonts w:cs="Arial"/>
                <w:color w:val="auto"/>
              </w:rPr>
              <w:t>3.</w:t>
            </w:r>
          </w:p>
        </w:tc>
        <w:tc>
          <w:tcPr>
            <w:tcW w:w="5027" w:type="dxa"/>
          </w:tcPr>
          <w:p w:rsidR="006B7964" w:rsidRPr="00574D25" w:rsidRDefault="006B7964" w:rsidP="006B7964">
            <w:pPr>
              <w:spacing w:before="120" w:line="276" w:lineRule="auto"/>
              <w:jc w:val="both"/>
              <w:rPr>
                <w:rFonts w:cs="Arial"/>
                <w:color w:val="auto"/>
              </w:rPr>
            </w:pPr>
            <w:r w:rsidRPr="00574D25">
              <w:rPr>
                <w:rFonts w:cs="Arial"/>
                <w:color w:val="auto"/>
              </w:rPr>
              <w:t>Vyšší procento podpojištění</w:t>
            </w:r>
          </w:p>
        </w:tc>
        <w:tc>
          <w:tcPr>
            <w:tcW w:w="3118" w:type="dxa"/>
            <w:vAlign w:val="center"/>
          </w:tcPr>
          <w:p w:rsidR="006B7964" w:rsidRPr="00574D25" w:rsidRDefault="006B7964" w:rsidP="006B7964">
            <w:pPr>
              <w:spacing w:before="120" w:line="276" w:lineRule="auto"/>
              <w:jc w:val="both"/>
              <w:rPr>
                <w:rFonts w:cs="Arial"/>
                <w:color w:val="auto"/>
              </w:rPr>
            </w:pPr>
            <w:r w:rsidRPr="00574D25">
              <w:rPr>
                <w:rFonts w:cs="Arial"/>
                <w:color w:val="auto"/>
              </w:rPr>
              <w:t>10</w:t>
            </w:r>
            <w:r w:rsidR="007B3568">
              <w:rPr>
                <w:rFonts w:cs="Arial"/>
                <w:color w:val="auto"/>
              </w:rPr>
              <w:t xml:space="preserve"> </w:t>
            </w:r>
            <w:r w:rsidRPr="00574D25">
              <w:rPr>
                <w:rFonts w:cs="Arial"/>
                <w:color w:val="auto"/>
              </w:rPr>
              <w:t>%</w:t>
            </w:r>
          </w:p>
        </w:tc>
      </w:tr>
      <w:bookmarkEnd w:id="6"/>
    </w:tbl>
    <w:p w:rsidR="006B7964" w:rsidRPr="00574D25" w:rsidRDefault="006B7964" w:rsidP="006B7964">
      <w:pPr>
        <w:spacing w:before="120" w:line="276" w:lineRule="auto"/>
        <w:jc w:val="both"/>
        <w:rPr>
          <w:rFonts w:cs="Arial"/>
          <w:b/>
          <w:i/>
          <w:color w:val="auto"/>
        </w:rPr>
      </w:pPr>
    </w:p>
    <w:p w:rsidR="006B7964" w:rsidRPr="00574D25" w:rsidRDefault="006B7964" w:rsidP="006B7964">
      <w:pPr>
        <w:spacing w:before="120" w:line="276" w:lineRule="auto"/>
        <w:ind w:left="284"/>
        <w:jc w:val="both"/>
        <w:rPr>
          <w:rFonts w:cs="Arial"/>
          <w:b/>
          <w:i/>
          <w:color w:val="auto"/>
        </w:rPr>
      </w:pPr>
      <w:r w:rsidRPr="00574D25">
        <w:rPr>
          <w:rFonts w:cs="Arial"/>
          <w:b/>
          <w:i/>
          <w:color w:val="auto"/>
        </w:rPr>
        <w:t>Kritérium č. 1 – Nabídková cena</w:t>
      </w:r>
    </w:p>
    <w:p w:rsidR="006B7964" w:rsidRPr="000A0FD4" w:rsidRDefault="006B7964" w:rsidP="006B7964">
      <w:pPr>
        <w:spacing w:before="120" w:line="276" w:lineRule="auto"/>
        <w:ind w:left="284"/>
        <w:jc w:val="both"/>
        <w:rPr>
          <w:rFonts w:cs="Arial"/>
          <w:i/>
          <w:color w:val="auto"/>
        </w:rPr>
      </w:pPr>
      <w:r w:rsidRPr="00574D25">
        <w:rPr>
          <w:rFonts w:cs="Arial"/>
          <w:color w:val="auto"/>
        </w:rPr>
        <w:t xml:space="preserve">Při hodnocení celkové výše pojistného je rozhodné celkové uchazečem navržené </w:t>
      </w:r>
      <w:r w:rsidR="0009085C">
        <w:rPr>
          <w:rFonts w:cs="Arial"/>
          <w:color w:val="auto"/>
        </w:rPr>
        <w:t xml:space="preserve">roční </w:t>
      </w:r>
      <w:r w:rsidRPr="00574D25">
        <w:rPr>
          <w:rFonts w:cs="Arial"/>
          <w:color w:val="auto"/>
        </w:rPr>
        <w:t xml:space="preserve">pojistné </w:t>
      </w:r>
      <w:r w:rsidR="0009085C">
        <w:rPr>
          <w:rFonts w:cs="Arial"/>
          <w:color w:val="auto"/>
        </w:rPr>
        <w:t xml:space="preserve">(tj. pojistné za 12 </w:t>
      </w:r>
      <w:r w:rsidRPr="00574D25">
        <w:rPr>
          <w:rFonts w:cs="Arial"/>
          <w:color w:val="auto"/>
        </w:rPr>
        <w:t>měsíců</w:t>
      </w:r>
      <w:r w:rsidR="0009085C">
        <w:rPr>
          <w:rFonts w:cs="Arial"/>
          <w:color w:val="auto"/>
        </w:rPr>
        <w:t>)</w:t>
      </w:r>
      <w:r w:rsidRPr="00574D25">
        <w:rPr>
          <w:rFonts w:cs="Arial"/>
          <w:color w:val="auto"/>
        </w:rPr>
        <w:t xml:space="preserve">, získané součtem cen pojištění dle </w:t>
      </w:r>
      <w:r w:rsidRPr="00262CFE">
        <w:rPr>
          <w:rFonts w:cs="Arial"/>
          <w:color w:val="auto"/>
        </w:rPr>
        <w:t>příloh 1</w:t>
      </w:r>
      <w:r w:rsidR="00574D25" w:rsidRPr="00262CFE">
        <w:rPr>
          <w:rFonts w:cs="Arial"/>
          <w:color w:val="auto"/>
        </w:rPr>
        <w:t xml:space="preserve"> až </w:t>
      </w:r>
      <w:r w:rsidR="006508AC">
        <w:rPr>
          <w:rFonts w:cs="Arial"/>
          <w:color w:val="auto"/>
        </w:rPr>
        <w:t>8</w:t>
      </w:r>
      <w:r w:rsidR="00574D25" w:rsidRPr="00262CFE">
        <w:rPr>
          <w:rFonts w:cs="Arial"/>
          <w:color w:val="auto"/>
        </w:rPr>
        <w:t xml:space="preserve"> této zadávací dokumentace.</w:t>
      </w:r>
      <w:r w:rsidRPr="00262CFE">
        <w:rPr>
          <w:rFonts w:cs="Arial"/>
          <w:color w:val="auto"/>
        </w:rPr>
        <w:t xml:space="preserve"> </w:t>
      </w:r>
      <w:r w:rsidRPr="00574D25">
        <w:rPr>
          <w:rFonts w:cs="Arial"/>
          <w:color w:val="auto"/>
        </w:rPr>
        <w:t>Pojistné bude v nabídce uchazeče uvedeno v Kč (bez n</w:t>
      </w:r>
      <w:r w:rsidR="00E65984">
        <w:rPr>
          <w:rFonts w:cs="Arial"/>
          <w:color w:val="auto"/>
        </w:rPr>
        <w:t>abídky při využití vyhrazeného plnění</w:t>
      </w:r>
      <w:r w:rsidRPr="00574D25">
        <w:rPr>
          <w:rFonts w:cs="Arial"/>
          <w:color w:val="auto"/>
        </w:rPr>
        <w:t>).</w:t>
      </w:r>
      <w:r w:rsidR="000A0FD4">
        <w:rPr>
          <w:rFonts w:cs="Arial"/>
          <w:color w:val="auto"/>
        </w:rPr>
        <w:t xml:space="preserve"> </w:t>
      </w:r>
      <w:r w:rsidR="000A0FD4" w:rsidRPr="000A0FD4">
        <w:rPr>
          <w:rFonts w:cs="Arial"/>
          <w:i/>
          <w:color w:val="auto"/>
        </w:rPr>
        <w:t>Váha 70</w:t>
      </w:r>
      <w:r w:rsidR="007B3568">
        <w:rPr>
          <w:rFonts w:cs="Arial"/>
          <w:i/>
          <w:color w:val="auto"/>
        </w:rPr>
        <w:t xml:space="preserve"> </w:t>
      </w:r>
      <w:r w:rsidR="000A0FD4" w:rsidRPr="000A0FD4">
        <w:rPr>
          <w:rFonts w:cs="Arial"/>
          <w:i/>
          <w:color w:val="auto"/>
        </w:rPr>
        <w:t>%</w:t>
      </w:r>
      <w:r w:rsidR="007B3568">
        <w:rPr>
          <w:rFonts w:cs="Arial"/>
          <w:i/>
          <w:color w:val="auto"/>
        </w:rPr>
        <w:t>.</w:t>
      </w:r>
    </w:p>
    <w:p w:rsidR="006B7964" w:rsidRPr="00574D25" w:rsidRDefault="006B7964" w:rsidP="006B7964">
      <w:pPr>
        <w:spacing w:before="120" w:line="276" w:lineRule="auto"/>
        <w:jc w:val="both"/>
        <w:rPr>
          <w:rFonts w:cs="Arial"/>
          <w:b/>
          <w:i/>
          <w:color w:val="auto"/>
        </w:rPr>
      </w:pPr>
    </w:p>
    <w:p w:rsidR="006B7964" w:rsidRPr="00574D25" w:rsidRDefault="006B7964" w:rsidP="006B7964">
      <w:pPr>
        <w:spacing w:before="120" w:line="276" w:lineRule="auto"/>
        <w:ind w:left="284"/>
        <w:jc w:val="both"/>
        <w:rPr>
          <w:rFonts w:cs="Arial"/>
          <w:b/>
          <w:i/>
          <w:color w:val="auto"/>
        </w:rPr>
      </w:pPr>
      <w:r w:rsidRPr="00574D25">
        <w:rPr>
          <w:rFonts w:cs="Arial"/>
          <w:b/>
          <w:i/>
          <w:color w:val="auto"/>
        </w:rPr>
        <w:t>Kritérium č. 2 – Poskytnutí vyšších limitů pojistného plnění než požadované limity</w:t>
      </w:r>
      <w:r w:rsidR="0009085C" w:rsidRPr="0009085C">
        <w:rPr>
          <w:rFonts w:cs="Arial"/>
          <w:b/>
          <w:i/>
          <w:color w:val="auto"/>
        </w:rPr>
        <w:t xml:space="preserve"> </w:t>
      </w:r>
      <w:r w:rsidR="0009085C" w:rsidRPr="00574D25">
        <w:rPr>
          <w:rFonts w:cs="Arial"/>
          <w:b/>
          <w:i/>
          <w:color w:val="auto"/>
        </w:rPr>
        <w:t>pro povodeň a záplavu</w:t>
      </w:r>
    </w:p>
    <w:p w:rsidR="0009085C" w:rsidRPr="007B3568" w:rsidRDefault="006B7964" w:rsidP="007B3568">
      <w:pPr>
        <w:spacing w:before="120" w:line="276" w:lineRule="auto"/>
        <w:ind w:left="284"/>
        <w:jc w:val="both"/>
        <w:rPr>
          <w:rFonts w:cs="Arial"/>
          <w:color w:val="auto"/>
        </w:rPr>
      </w:pPr>
      <w:r w:rsidRPr="00574D25">
        <w:rPr>
          <w:rFonts w:cs="Arial"/>
          <w:color w:val="auto"/>
        </w:rPr>
        <w:t>Budou hodnoceny limity (rozdíly od zadavatelem požadovaných minimálních limi</w:t>
      </w:r>
      <w:r w:rsidR="007B3568">
        <w:rPr>
          <w:rFonts w:cs="Arial"/>
          <w:color w:val="auto"/>
        </w:rPr>
        <w:t>tů), které uchazeč uvede v návrhu smlou</w:t>
      </w:r>
      <w:r w:rsidRPr="00574D25">
        <w:rPr>
          <w:rFonts w:cs="Arial"/>
          <w:color w:val="auto"/>
        </w:rPr>
        <w:t>v</w:t>
      </w:r>
      <w:r w:rsidR="007B3568">
        <w:rPr>
          <w:rFonts w:cs="Arial"/>
          <w:color w:val="auto"/>
        </w:rPr>
        <w:t>y</w:t>
      </w:r>
      <w:r w:rsidRPr="00574D25">
        <w:rPr>
          <w:rFonts w:cs="Arial"/>
          <w:color w:val="auto"/>
        </w:rPr>
        <w:t xml:space="preserve"> zpracovan</w:t>
      </w:r>
      <w:r w:rsidR="007B3568">
        <w:rPr>
          <w:rFonts w:cs="Arial"/>
          <w:color w:val="auto"/>
        </w:rPr>
        <w:t>ého</w:t>
      </w:r>
      <w:r w:rsidRPr="00574D25">
        <w:rPr>
          <w:rFonts w:cs="Arial"/>
          <w:color w:val="auto"/>
        </w:rPr>
        <w:t xml:space="preserve"> v souladu se zadávací dokumentací a </w:t>
      </w:r>
      <w:r w:rsidRPr="00262CFE">
        <w:rPr>
          <w:rFonts w:cs="Arial"/>
          <w:color w:val="auto"/>
        </w:rPr>
        <w:t>příloh</w:t>
      </w:r>
      <w:r w:rsidR="007B3568" w:rsidRPr="00262CFE">
        <w:rPr>
          <w:rFonts w:cs="Arial"/>
          <w:color w:val="auto"/>
        </w:rPr>
        <w:t>ou</w:t>
      </w:r>
      <w:r w:rsidRPr="00262CFE">
        <w:rPr>
          <w:rFonts w:cs="Arial"/>
          <w:color w:val="auto"/>
        </w:rPr>
        <w:t xml:space="preserve"> č. 1 </w:t>
      </w:r>
      <w:r w:rsidRPr="00574D25">
        <w:rPr>
          <w:rFonts w:cs="Arial"/>
          <w:color w:val="auto"/>
        </w:rPr>
        <w:t xml:space="preserve">této zadávací dokumentace, a to vždy v celých tisících Kč. Zadavatelem požadované limity (specifikované v obchodních podmínkách) jsou uvedeny jako minimální. </w:t>
      </w:r>
      <w:r w:rsidR="0009085C" w:rsidRPr="00574D25">
        <w:rPr>
          <w:rFonts w:cs="Arial"/>
          <w:i/>
          <w:color w:val="auto"/>
        </w:rPr>
        <w:t xml:space="preserve">(tj. hodnota navržená uchazečem nad požadované minimum </w:t>
      </w:r>
      <w:r w:rsidR="007B3568">
        <w:rPr>
          <w:rFonts w:cs="Arial"/>
          <w:i/>
          <w:color w:val="auto"/>
        </w:rPr>
        <w:t>2</w:t>
      </w:r>
      <w:r w:rsidR="0009085C">
        <w:rPr>
          <w:rFonts w:cs="Arial"/>
          <w:i/>
          <w:color w:val="auto"/>
        </w:rPr>
        <w:t>00,000.000 Kč</w:t>
      </w:r>
      <w:r w:rsidR="007B3568">
        <w:rPr>
          <w:rFonts w:cs="Arial"/>
          <w:i/>
          <w:color w:val="auto"/>
        </w:rPr>
        <w:t xml:space="preserve"> – </w:t>
      </w:r>
      <w:r w:rsidR="007B3568">
        <w:rPr>
          <w:rFonts w:cs="Arial"/>
          <w:color w:val="auto"/>
        </w:rPr>
        <w:t xml:space="preserve">váha </w:t>
      </w:r>
      <w:r w:rsidR="007B3568" w:rsidRPr="007B3568">
        <w:rPr>
          <w:rFonts w:cs="Arial"/>
          <w:color w:val="auto"/>
        </w:rPr>
        <w:t>20 %</w:t>
      </w:r>
      <w:r w:rsidR="007B3568">
        <w:rPr>
          <w:rFonts w:cs="Arial"/>
          <w:i/>
          <w:color w:val="auto"/>
        </w:rPr>
        <w:t xml:space="preserve"> </w:t>
      </w:r>
      <w:r w:rsidR="007B3568" w:rsidRPr="007B3568">
        <w:rPr>
          <w:rFonts w:cs="Arial"/>
          <w:color w:val="auto"/>
        </w:rPr>
        <w:t xml:space="preserve">(jedná se o společný limit za Statutární město Ostrava včetně všech jeho příspěvkových organizací a za všechny městské obvody spadající pod Statutární město Ostrava včetně všech </w:t>
      </w:r>
      <w:r w:rsidR="007B3568">
        <w:rPr>
          <w:rFonts w:cs="Arial"/>
          <w:color w:val="auto"/>
        </w:rPr>
        <w:t>jejich příspěvkových organizací</w:t>
      </w:r>
      <w:r w:rsidR="00262CFE">
        <w:rPr>
          <w:rFonts w:cs="Arial"/>
          <w:color w:val="auto"/>
        </w:rPr>
        <w:t>)</w:t>
      </w:r>
      <w:r w:rsidR="007B3568">
        <w:rPr>
          <w:rFonts w:cs="Arial"/>
          <w:color w:val="auto"/>
        </w:rPr>
        <w:t xml:space="preserve">. </w:t>
      </w:r>
    </w:p>
    <w:p w:rsidR="006B7964" w:rsidRDefault="006B7964" w:rsidP="006B7964">
      <w:pPr>
        <w:spacing w:before="120" w:line="276" w:lineRule="auto"/>
        <w:ind w:left="284"/>
        <w:jc w:val="both"/>
        <w:rPr>
          <w:rFonts w:cs="Arial"/>
          <w:b/>
          <w:i/>
          <w:color w:val="auto"/>
        </w:rPr>
      </w:pPr>
    </w:p>
    <w:p w:rsidR="006B7964" w:rsidRPr="00574D25" w:rsidRDefault="006B7964" w:rsidP="006B7964">
      <w:pPr>
        <w:spacing w:before="120" w:line="276" w:lineRule="auto"/>
        <w:ind w:left="284"/>
        <w:jc w:val="both"/>
        <w:rPr>
          <w:rFonts w:cs="Arial"/>
          <w:b/>
          <w:i/>
          <w:color w:val="auto"/>
        </w:rPr>
      </w:pPr>
      <w:r w:rsidRPr="00574D25">
        <w:rPr>
          <w:rFonts w:cs="Arial"/>
          <w:b/>
          <w:i/>
          <w:color w:val="auto"/>
        </w:rPr>
        <w:t>Kritérium č. 3 – Poskytnutí vyššího procenta podpojištění</w:t>
      </w:r>
    </w:p>
    <w:p w:rsidR="006B7964" w:rsidRPr="00574D25" w:rsidRDefault="006B7964" w:rsidP="006B7964">
      <w:pPr>
        <w:spacing w:before="120" w:line="276" w:lineRule="auto"/>
        <w:ind w:left="284"/>
        <w:jc w:val="both"/>
        <w:rPr>
          <w:rFonts w:cs="Arial"/>
          <w:color w:val="auto"/>
        </w:rPr>
      </w:pPr>
      <w:r w:rsidRPr="00574D25">
        <w:rPr>
          <w:rFonts w:cs="Arial"/>
          <w:color w:val="auto"/>
        </w:rPr>
        <w:t xml:space="preserve">Bude hodnoceno procento podpojištění. Procento podpojištění navržené v jednotlivých bodech obchodních podmínek uvedených </w:t>
      </w:r>
      <w:r w:rsidRPr="00262CFE">
        <w:rPr>
          <w:rFonts w:cs="Arial"/>
          <w:color w:val="auto"/>
        </w:rPr>
        <w:t xml:space="preserve">v přílohách </w:t>
      </w:r>
      <w:r w:rsidR="000E164B" w:rsidRPr="00262CFE">
        <w:rPr>
          <w:rFonts w:cs="Arial"/>
          <w:color w:val="auto"/>
        </w:rPr>
        <w:t xml:space="preserve">č. </w:t>
      </w:r>
      <w:r w:rsidRPr="00262CFE">
        <w:rPr>
          <w:rFonts w:cs="Arial"/>
          <w:color w:val="auto"/>
        </w:rPr>
        <w:t xml:space="preserve">1 až </w:t>
      </w:r>
      <w:r w:rsidR="000E164B" w:rsidRPr="00262CFE">
        <w:rPr>
          <w:rFonts w:cs="Arial"/>
          <w:color w:val="auto"/>
        </w:rPr>
        <w:t>7</w:t>
      </w:r>
      <w:r w:rsidRPr="00262CFE">
        <w:rPr>
          <w:rFonts w:cs="Arial"/>
          <w:color w:val="auto"/>
        </w:rPr>
        <w:t xml:space="preserve"> </w:t>
      </w:r>
      <w:r w:rsidRPr="00574D25">
        <w:rPr>
          <w:rFonts w:cs="Arial"/>
          <w:color w:val="auto"/>
        </w:rPr>
        <w:t>(rozdíl od zadavatelem požadovaného minimálního procenta podpojištění) v celých číslech. Zadavatelem požadované procento podpojištění (specifikované v obchodních podmínkách) j</w:t>
      </w:r>
      <w:r w:rsidR="00262CFE">
        <w:rPr>
          <w:rFonts w:cs="Arial"/>
          <w:color w:val="auto"/>
        </w:rPr>
        <w:t>e</w:t>
      </w:r>
      <w:r w:rsidRPr="00574D25">
        <w:rPr>
          <w:rFonts w:cs="Arial"/>
          <w:color w:val="auto"/>
        </w:rPr>
        <w:t xml:space="preserve"> uveden</w:t>
      </w:r>
      <w:r w:rsidR="00262CFE">
        <w:rPr>
          <w:rFonts w:cs="Arial"/>
          <w:color w:val="auto"/>
        </w:rPr>
        <w:t>o</w:t>
      </w:r>
      <w:r w:rsidRPr="00574D25">
        <w:rPr>
          <w:rFonts w:cs="Arial"/>
          <w:color w:val="auto"/>
        </w:rPr>
        <w:t xml:space="preserve"> jako minimální. </w:t>
      </w:r>
    </w:p>
    <w:p w:rsidR="006B7964" w:rsidRPr="00574D25" w:rsidRDefault="00262CFE" w:rsidP="006B7964">
      <w:pPr>
        <w:spacing w:before="120" w:line="276" w:lineRule="auto"/>
        <w:ind w:left="284"/>
        <w:jc w:val="both"/>
        <w:rPr>
          <w:rFonts w:cs="Arial"/>
          <w:b/>
          <w:i/>
          <w:color w:val="auto"/>
        </w:rPr>
      </w:pPr>
      <w:r>
        <w:rPr>
          <w:rFonts w:cs="Arial"/>
          <w:i/>
          <w:color w:val="auto"/>
        </w:rPr>
        <w:lastRenderedPageBreak/>
        <w:t>V</w:t>
      </w:r>
      <w:r w:rsidR="00160BDA">
        <w:rPr>
          <w:rFonts w:cs="Arial"/>
          <w:i/>
          <w:color w:val="auto"/>
        </w:rPr>
        <w:t xml:space="preserve">yšší procento </w:t>
      </w:r>
      <w:r w:rsidR="006B7964" w:rsidRPr="00574D25">
        <w:rPr>
          <w:rFonts w:cs="Arial"/>
          <w:i/>
          <w:color w:val="auto"/>
        </w:rPr>
        <w:t xml:space="preserve">podpojištění než je uvedeno v jednotlivých </w:t>
      </w:r>
      <w:r w:rsidR="006B7964" w:rsidRPr="00160BDA">
        <w:rPr>
          <w:rFonts w:cs="Arial"/>
          <w:i/>
          <w:color w:val="auto"/>
        </w:rPr>
        <w:t>bodech</w:t>
      </w:r>
      <w:r w:rsidR="006B7964" w:rsidRPr="00574D25">
        <w:rPr>
          <w:rFonts w:cs="Arial"/>
          <w:i/>
          <w:color w:val="auto"/>
        </w:rPr>
        <w:t xml:space="preserve"> </w:t>
      </w:r>
      <w:r w:rsidR="006B7964" w:rsidRPr="00262CFE">
        <w:rPr>
          <w:rFonts w:cs="Arial"/>
          <w:i/>
          <w:color w:val="auto"/>
        </w:rPr>
        <w:t xml:space="preserve">příloh č. 1 až </w:t>
      </w:r>
      <w:r w:rsidR="009D409E" w:rsidRPr="00262CFE">
        <w:rPr>
          <w:rFonts w:cs="Arial"/>
          <w:i/>
          <w:color w:val="auto"/>
        </w:rPr>
        <w:t>7</w:t>
      </w:r>
      <w:r w:rsidR="006B7964" w:rsidRPr="00262CFE">
        <w:rPr>
          <w:rFonts w:cs="Arial"/>
          <w:i/>
          <w:color w:val="auto"/>
        </w:rPr>
        <w:t xml:space="preserve"> </w:t>
      </w:r>
      <w:r w:rsidR="006B7964" w:rsidRPr="00574D25">
        <w:rPr>
          <w:rFonts w:cs="Arial"/>
          <w:i/>
          <w:color w:val="auto"/>
        </w:rPr>
        <w:t>zadávací dokumentace (tj. hodnota navržená uc</w:t>
      </w:r>
      <w:r w:rsidR="007B3568">
        <w:rPr>
          <w:rFonts w:cs="Arial"/>
          <w:i/>
          <w:color w:val="auto"/>
        </w:rPr>
        <w:t>hazečem nad požadované minimum 20 %) váha</w:t>
      </w:r>
      <w:r w:rsidR="006B7964" w:rsidRPr="00574D25">
        <w:rPr>
          <w:rFonts w:cs="Arial"/>
          <w:i/>
          <w:color w:val="auto"/>
        </w:rPr>
        <w:t xml:space="preserve"> 10</w:t>
      </w:r>
      <w:r w:rsidR="006B7964" w:rsidRPr="00574D25">
        <w:rPr>
          <w:rFonts w:cs="Arial"/>
          <w:b/>
          <w:i/>
          <w:color w:val="auto"/>
        </w:rPr>
        <w:t xml:space="preserve"> %</w:t>
      </w:r>
    </w:p>
    <w:p w:rsidR="006B7964" w:rsidRPr="00574D25" w:rsidRDefault="006B7964" w:rsidP="006B7964">
      <w:pPr>
        <w:spacing w:line="276" w:lineRule="auto"/>
        <w:ind w:left="284"/>
        <w:jc w:val="both"/>
        <w:rPr>
          <w:rFonts w:cs="Arial"/>
          <w:color w:val="auto"/>
        </w:rPr>
      </w:pPr>
      <w:r w:rsidRPr="00574D25">
        <w:rPr>
          <w:rFonts w:cs="Arial"/>
          <w:color w:val="auto"/>
        </w:rPr>
        <w:t xml:space="preserve">(ve vztahu k majetkovému pojištění ve smyslu </w:t>
      </w:r>
      <w:r w:rsidRPr="00262CFE">
        <w:rPr>
          <w:rFonts w:cs="Arial"/>
          <w:color w:val="auto"/>
        </w:rPr>
        <w:t xml:space="preserve">příloh č. 1 až </w:t>
      </w:r>
      <w:r w:rsidR="009D409E" w:rsidRPr="00262CFE">
        <w:rPr>
          <w:rFonts w:cs="Arial"/>
          <w:color w:val="auto"/>
        </w:rPr>
        <w:t>7</w:t>
      </w:r>
      <w:r w:rsidRPr="00262CFE">
        <w:rPr>
          <w:rFonts w:cs="Arial"/>
          <w:color w:val="auto"/>
        </w:rPr>
        <w:t xml:space="preserve"> zadávací dokumentace</w:t>
      </w:r>
      <w:r w:rsidRPr="00574D25">
        <w:rPr>
          <w:rFonts w:cs="Arial"/>
          <w:color w:val="auto"/>
        </w:rPr>
        <w:t>; procento musí být shodné pro všechny uvedené možnosti podpojištění)</w:t>
      </w:r>
    </w:p>
    <w:p w:rsidR="006B7964" w:rsidRPr="00574D25" w:rsidRDefault="006B7964" w:rsidP="006B7964">
      <w:pPr>
        <w:spacing w:before="120" w:line="276" w:lineRule="auto"/>
        <w:ind w:left="284"/>
        <w:jc w:val="both"/>
        <w:rPr>
          <w:rFonts w:cs="Arial"/>
          <w:color w:val="auto"/>
        </w:rPr>
      </w:pPr>
      <w:r w:rsidRPr="00574D25">
        <w:rPr>
          <w:rFonts w:cs="Arial"/>
          <w:color w:val="auto"/>
        </w:rPr>
        <w:t>Minimální požadavky na jednotlivé limity plnění a procento podpojištění jsou uvedeny v příslušných přílohách zadávací dokumentace.</w:t>
      </w:r>
    </w:p>
    <w:p w:rsidR="006B7964" w:rsidRPr="00574D25" w:rsidRDefault="006B7964" w:rsidP="006B7964">
      <w:pPr>
        <w:spacing w:before="120" w:line="276" w:lineRule="auto"/>
        <w:ind w:left="284"/>
        <w:jc w:val="both"/>
        <w:rPr>
          <w:rFonts w:cs="Arial"/>
          <w:color w:val="auto"/>
          <w:u w:val="single"/>
        </w:rPr>
      </w:pPr>
      <w:r w:rsidRPr="00574D25">
        <w:rPr>
          <w:rFonts w:cs="Arial"/>
          <w:color w:val="auto"/>
          <w:u w:val="single"/>
        </w:rPr>
        <w:t>Procento podpojištění plnění uvede uchazeč jednak v příslušných obchodních podmínkách, a také pro větší přehlednost na samostatném listu nabídky (rovněž jako součást krycího listu nabídky).</w:t>
      </w:r>
    </w:p>
    <w:p w:rsidR="006B7964" w:rsidRPr="00574D25" w:rsidRDefault="006B7964" w:rsidP="006B7964">
      <w:pPr>
        <w:spacing w:before="120" w:line="276" w:lineRule="auto"/>
        <w:jc w:val="both"/>
        <w:rPr>
          <w:rFonts w:cs="Arial"/>
          <w:b/>
          <w:i/>
          <w:color w:val="auto"/>
        </w:rPr>
      </w:pPr>
    </w:p>
    <w:p w:rsidR="006B7964" w:rsidRPr="00574D25" w:rsidRDefault="00225978" w:rsidP="0073412B">
      <w:pPr>
        <w:tabs>
          <w:tab w:val="left" w:pos="284"/>
        </w:tabs>
        <w:spacing w:after="200" w:line="276" w:lineRule="auto"/>
        <w:jc w:val="both"/>
        <w:outlineLvl w:val="0"/>
        <w:rPr>
          <w:rFonts w:cs="Arial"/>
          <w:color w:val="auto"/>
        </w:rPr>
      </w:pPr>
      <w:bookmarkStart w:id="7" w:name="_Toc263868774"/>
      <w:bookmarkStart w:id="8" w:name="_Toc264302160"/>
      <w:bookmarkStart w:id="9" w:name="_Toc265507550"/>
      <w:bookmarkStart w:id="10" w:name="_Toc266955680"/>
      <w:bookmarkStart w:id="11" w:name="_Toc279297821"/>
      <w:r w:rsidRPr="00E114B6">
        <w:rPr>
          <w:rFonts w:cs="Arial"/>
          <w:b/>
          <w:color w:val="auto"/>
        </w:rPr>
        <w:t>7</w:t>
      </w:r>
      <w:r w:rsidR="006B7964" w:rsidRPr="00E114B6">
        <w:rPr>
          <w:rFonts w:cs="Arial"/>
          <w:b/>
          <w:color w:val="auto"/>
        </w:rPr>
        <w:t>.3</w:t>
      </w:r>
      <w:r w:rsidR="006B7964" w:rsidRPr="00574D25">
        <w:rPr>
          <w:rFonts w:cs="Arial"/>
          <w:color w:val="auto"/>
        </w:rPr>
        <w:t xml:space="preserve">. Pro hodnocení nabídek bude použita bodovací stupnice v rozsahu 0 až 100. Každé jednotlivé nabídce bude dle dílčího kritéria (resp. </w:t>
      </w:r>
      <w:proofErr w:type="spellStart"/>
      <w:r w:rsidR="006B7964" w:rsidRPr="00574D25">
        <w:rPr>
          <w:rFonts w:cs="Arial"/>
          <w:color w:val="auto"/>
        </w:rPr>
        <w:t>subkritéria</w:t>
      </w:r>
      <w:proofErr w:type="spellEnd"/>
      <w:r w:rsidR="006B7964" w:rsidRPr="00574D25">
        <w:rPr>
          <w:rFonts w:cs="Arial"/>
          <w:color w:val="auto"/>
        </w:rPr>
        <w:t xml:space="preserve">) přidělena bodová hodnota, která odráží úspěšnost předmětné nabídky v rámci dílčího kritéria (resp. </w:t>
      </w:r>
      <w:proofErr w:type="spellStart"/>
      <w:r w:rsidR="006B7964" w:rsidRPr="00574D25">
        <w:rPr>
          <w:rFonts w:cs="Arial"/>
          <w:color w:val="auto"/>
        </w:rPr>
        <w:t>subkritéria</w:t>
      </w:r>
      <w:proofErr w:type="spellEnd"/>
      <w:r w:rsidR="006B7964" w:rsidRPr="00574D25">
        <w:rPr>
          <w:rFonts w:cs="Arial"/>
          <w:color w:val="auto"/>
        </w:rPr>
        <w:t>).</w:t>
      </w:r>
      <w:bookmarkEnd w:id="7"/>
      <w:bookmarkEnd w:id="8"/>
      <w:bookmarkEnd w:id="9"/>
      <w:bookmarkEnd w:id="10"/>
      <w:bookmarkEnd w:id="11"/>
    </w:p>
    <w:p w:rsidR="006B7964" w:rsidRPr="00574D25" w:rsidRDefault="006B7964" w:rsidP="0073412B">
      <w:pPr>
        <w:tabs>
          <w:tab w:val="left" w:pos="284"/>
        </w:tabs>
        <w:jc w:val="both"/>
        <w:rPr>
          <w:rFonts w:cs="Arial"/>
          <w:color w:val="auto"/>
        </w:rPr>
      </w:pPr>
    </w:p>
    <w:p w:rsidR="006B7964" w:rsidRPr="00574D25" w:rsidRDefault="00225978" w:rsidP="0073412B">
      <w:pPr>
        <w:tabs>
          <w:tab w:val="left" w:pos="284"/>
        </w:tabs>
        <w:spacing w:after="200" w:line="276" w:lineRule="auto"/>
        <w:jc w:val="both"/>
        <w:outlineLvl w:val="0"/>
        <w:rPr>
          <w:rFonts w:cs="Arial"/>
          <w:color w:val="auto"/>
        </w:rPr>
      </w:pPr>
      <w:bookmarkStart w:id="12" w:name="_Toc266955681"/>
      <w:bookmarkStart w:id="13" w:name="_Toc279297822"/>
      <w:r w:rsidRPr="00E114B6">
        <w:rPr>
          <w:rFonts w:cs="Arial"/>
          <w:b/>
          <w:color w:val="auto"/>
        </w:rPr>
        <w:t>7</w:t>
      </w:r>
      <w:r w:rsidR="006B7964" w:rsidRPr="00E114B6">
        <w:rPr>
          <w:rFonts w:cs="Arial"/>
          <w:b/>
          <w:color w:val="auto"/>
        </w:rPr>
        <w:t>.4</w:t>
      </w:r>
      <w:r w:rsidR="006B7964" w:rsidRPr="00574D25">
        <w:rPr>
          <w:rFonts w:cs="Arial"/>
          <w:color w:val="auto"/>
        </w:rPr>
        <w:t xml:space="preserve"> V případě dílčího hodnotícího kritéria č. 1 (nabídková cena) se jedná o nákladové kvantitativní kritérium, u něhož jsou preferovány nižší hodnoty před vyššími; jednotlivým nabídkám budou přiděleny bodové hodnoty (</w:t>
      </w:r>
      <w:proofErr w:type="spellStart"/>
      <w:r w:rsidR="006B7964" w:rsidRPr="00574D25">
        <w:rPr>
          <w:rFonts w:cs="Arial"/>
          <w:color w:val="auto"/>
        </w:rPr>
        <w:t>bh</w:t>
      </w:r>
      <w:proofErr w:type="spellEnd"/>
      <w:r w:rsidR="006B7964" w:rsidRPr="00574D25">
        <w:rPr>
          <w:rFonts w:cs="Arial"/>
          <w:color w:val="auto"/>
        </w:rPr>
        <w:t>) dle následujícího vzorce:</w:t>
      </w:r>
      <w:bookmarkEnd w:id="12"/>
      <w:bookmarkEnd w:id="13"/>
    </w:p>
    <w:p w:rsidR="006B7964" w:rsidRPr="00574D25" w:rsidRDefault="00B420DA" w:rsidP="0073412B">
      <w:pPr>
        <w:tabs>
          <w:tab w:val="left" w:pos="284"/>
        </w:tabs>
        <w:spacing w:after="120" w:line="276" w:lineRule="auto"/>
        <w:jc w:val="both"/>
        <w:rPr>
          <w:rFonts w:cs="Arial"/>
          <w:color w:val="auto"/>
        </w:rPr>
      </w:pPr>
      <w:r>
        <w:rPr>
          <w:rFonts w:cs="Arial"/>
          <w:color w:val="auto"/>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6pt">
            <v:imagedata r:id="rId11" o:title=""/>
          </v:shape>
        </w:pict>
      </w:r>
    </w:p>
    <w:p w:rsidR="006B7964" w:rsidRPr="00574D25" w:rsidRDefault="006B7964" w:rsidP="0073412B">
      <w:pPr>
        <w:tabs>
          <w:tab w:val="left" w:pos="284"/>
        </w:tabs>
        <w:spacing w:after="120" w:line="276" w:lineRule="auto"/>
        <w:jc w:val="both"/>
        <w:rPr>
          <w:rFonts w:cs="Arial"/>
          <w:color w:val="auto"/>
        </w:rPr>
      </w:pPr>
    </w:p>
    <w:p w:rsidR="006B7964" w:rsidRPr="00574D25" w:rsidRDefault="00225978" w:rsidP="0073412B">
      <w:pPr>
        <w:tabs>
          <w:tab w:val="left" w:pos="284"/>
          <w:tab w:val="left" w:pos="1418"/>
        </w:tabs>
        <w:spacing w:after="200" w:line="276" w:lineRule="auto"/>
        <w:jc w:val="both"/>
        <w:outlineLvl w:val="0"/>
        <w:rPr>
          <w:rFonts w:cs="Arial"/>
          <w:color w:val="auto"/>
        </w:rPr>
      </w:pPr>
      <w:r w:rsidRPr="00E114B6">
        <w:rPr>
          <w:rFonts w:cs="Arial"/>
          <w:b/>
          <w:color w:val="auto"/>
        </w:rPr>
        <w:t>7</w:t>
      </w:r>
      <w:r w:rsidR="006B7964" w:rsidRPr="00E114B6">
        <w:rPr>
          <w:rFonts w:cs="Arial"/>
          <w:b/>
          <w:color w:val="auto"/>
        </w:rPr>
        <w:t>.5</w:t>
      </w:r>
      <w:r w:rsidR="006B7964" w:rsidRPr="00574D25">
        <w:rPr>
          <w:rFonts w:cs="Arial"/>
          <w:color w:val="auto"/>
        </w:rPr>
        <w:t xml:space="preserve"> V případě dílčího hodnotícího kritéria č. 2 (poskytnutí vyšších limitů pojistného plnění) se jedná o výnosové kvantitativní kritérium, u něhož jsou preferovány vyšší hodnoty před nižšími; jednotlivým nabídkám dle uvedených </w:t>
      </w:r>
      <w:proofErr w:type="spellStart"/>
      <w:r w:rsidR="006B7964" w:rsidRPr="00574D25">
        <w:rPr>
          <w:rFonts w:cs="Arial"/>
          <w:color w:val="auto"/>
        </w:rPr>
        <w:t>subkritérií</w:t>
      </w:r>
      <w:proofErr w:type="spellEnd"/>
      <w:r w:rsidR="006B7964" w:rsidRPr="00574D25">
        <w:rPr>
          <w:rFonts w:cs="Arial"/>
          <w:color w:val="auto"/>
        </w:rPr>
        <w:t xml:space="preserve"> budou přiděleny bodové hodnoty (</w:t>
      </w:r>
      <w:r w:rsidR="00B420DA">
        <w:rPr>
          <w:rFonts w:cs="Arial"/>
          <w:color w:val="auto"/>
          <w:position w:val="-6"/>
        </w:rPr>
        <w:pict>
          <v:shape id="_x0000_i1026" type="#_x0000_t75" style="width:14.25pt;height:14.25pt">
            <v:imagedata r:id="rId12" o:title=""/>
          </v:shape>
        </w:pict>
      </w:r>
      <w:r w:rsidR="006B7964" w:rsidRPr="00574D25">
        <w:rPr>
          <w:rFonts w:cs="Arial"/>
          <w:color w:val="auto"/>
        </w:rPr>
        <w:t>) dle následujícího vzorce:</w:t>
      </w:r>
    </w:p>
    <w:p w:rsidR="006B7964" w:rsidRPr="00574D25" w:rsidRDefault="00B420DA" w:rsidP="0073412B">
      <w:pPr>
        <w:spacing w:after="120" w:line="276" w:lineRule="auto"/>
        <w:jc w:val="both"/>
        <w:rPr>
          <w:rFonts w:cs="Arial"/>
          <w:color w:val="auto"/>
        </w:rPr>
      </w:pPr>
      <w:r>
        <w:rPr>
          <w:rFonts w:cs="Arial"/>
          <w:color w:val="auto"/>
          <w:position w:val="-28"/>
        </w:rPr>
        <w:pict>
          <v:shape id="_x0000_i1027" type="#_x0000_t75" style="width:172.5pt;height:36pt">
            <v:imagedata r:id="rId13" o:title=""/>
          </v:shape>
        </w:pict>
      </w:r>
    </w:p>
    <w:p w:rsidR="006B7964" w:rsidRPr="00574D25" w:rsidRDefault="006B7964" w:rsidP="0073412B">
      <w:pPr>
        <w:jc w:val="both"/>
        <w:rPr>
          <w:rFonts w:cs="Arial"/>
          <w:color w:val="auto"/>
        </w:rPr>
      </w:pPr>
    </w:p>
    <w:p w:rsidR="006B7964" w:rsidRPr="00574D25" w:rsidRDefault="00225978" w:rsidP="0073412B">
      <w:pPr>
        <w:tabs>
          <w:tab w:val="left" w:pos="1418"/>
        </w:tabs>
        <w:spacing w:after="200" w:line="276" w:lineRule="auto"/>
        <w:jc w:val="both"/>
        <w:outlineLvl w:val="0"/>
        <w:rPr>
          <w:rFonts w:cs="Arial"/>
          <w:color w:val="auto"/>
        </w:rPr>
      </w:pPr>
      <w:r w:rsidRPr="00E114B6">
        <w:rPr>
          <w:rFonts w:cs="Arial"/>
          <w:b/>
          <w:color w:val="auto"/>
        </w:rPr>
        <w:t>7</w:t>
      </w:r>
      <w:r w:rsidR="006B7964" w:rsidRPr="00E114B6">
        <w:rPr>
          <w:rFonts w:cs="Arial"/>
          <w:b/>
          <w:color w:val="auto"/>
        </w:rPr>
        <w:t>.6.</w:t>
      </w:r>
      <w:r w:rsidR="006B7964" w:rsidRPr="00574D25">
        <w:rPr>
          <w:rFonts w:cs="Arial"/>
          <w:color w:val="auto"/>
        </w:rPr>
        <w:t xml:space="preserve">   V případě dílčího hodnotícího kritéria č. 3 (poskytnutí vyššího procenta podpojištění) se jedná o výnosové kvantitativní kritérium, u něhož jsou preferovány vyšší hodnoty před nižšími; jednotlivým nabídkám budou přiděleny bodové hodnoty (</w:t>
      </w:r>
      <w:r w:rsidR="00B420DA">
        <w:rPr>
          <w:rFonts w:cs="Arial"/>
          <w:color w:val="auto"/>
          <w:position w:val="-6"/>
        </w:rPr>
        <w:pict>
          <v:shape id="_x0000_i1028" type="#_x0000_t75" style="width:14.25pt;height:14.25pt">
            <v:imagedata r:id="rId12" o:title=""/>
          </v:shape>
        </w:pict>
      </w:r>
      <w:r w:rsidR="006B7964" w:rsidRPr="00574D25">
        <w:rPr>
          <w:rFonts w:cs="Arial"/>
          <w:color w:val="auto"/>
        </w:rPr>
        <w:t>) dle následujícího vzorce:</w:t>
      </w:r>
    </w:p>
    <w:p w:rsidR="006B7964" w:rsidRPr="00574D25" w:rsidRDefault="00B420DA" w:rsidP="0073412B">
      <w:pPr>
        <w:spacing w:after="120" w:line="276" w:lineRule="auto"/>
        <w:jc w:val="both"/>
        <w:rPr>
          <w:rFonts w:cs="Arial"/>
          <w:color w:val="auto"/>
        </w:rPr>
      </w:pPr>
      <w:r>
        <w:rPr>
          <w:rFonts w:cs="Arial"/>
          <w:color w:val="auto"/>
          <w:position w:val="-28"/>
        </w:rPr>
        <w:pict>
          <v:shape id="_x0000_i1029" type="#_x0000_t75" style="width:172.5pt;height:36pt">
            <v:imagedata r:id="rId13" o:title=""/>
          </v:shape>
        </w:pict>
      </w:r>
    </w:p>
    <w:p w:rsidR="006B7964" w:rsidRPr="00574D25" w:rsidRDefault="006B7964" w:rsidP="0073412B">
      <w:pPr>
        <w:tabs>
          <w:tab w:val="left" w:pos="426"/>
        </w:tabs>
        <w:spacing w:after="200" w:line="276" w:lineRule="auto"/>
        <w:jc w:val="both"/>
        <w:outlineLvl w:val="0"/>
        <w:rPr>
          <w:rFonts w:cs="Arial"/>
          <w:color w:val="auto"/>
        </w:rPr>
      </w:pPr>
      <w:r w:rsidRPr="00574D25">
        <w:rPr>
          <w:rFonts w:cs="Arial"/>
          <w:color w:val="auto"/>
        </w:rPr>
        <w:t>Body získané budou převáženy dle váhy příslušného kritéria a následně vahou tohoto dílčího hodnotícího kritéria.</w:t>
      </w:r>
    </w:p>
    <w:p w:rsidR="006B7964" w:rsidRDefault="00225978" w:rsidP="0073412B">
      <w:pPr>
        <w:tabs>
          <w:tab w:val="left" w:pos="1418"/>
        </w:tabs>
        <w:spacing w:after="200" w:line="276" w:lineRule="auto"/>
        <w:jc w:val="both"/>
        <w:outlineLvl w:val="0"/>
        <w:rPr>
          <w:rFonts w:cs="Arial"/>
          <w:color w:val="auto"/>
        </w:rPr>
      </w:pPr>
      <w:bookmarkStart w:id="14" w:name="_Toc263868777"/>
      <w:bookmarkStart w:id="15" w:name="_Toc264302163"/>
      <w:bookmarkStart w:id="16" w:name="_Toc265507553"/>
      <w:bookmarkStart w:id="17" w:name="_Toc266955687"/>
      <w:bookmarkStart w:id="18" w:name="_Toc279297827"/>
      <w:r w:rsidRPr="00E114B6">
        <w:rPr>
          <w:rFonts w:cs="Arial"/>
          <w:b/>
          <w:color w:val="auto"/>
        </w:rPr>
        <w:t>7</w:t>
      </w:r>
      <w:r w:rsidR="006B7964" w:rsidRPr="00E114B6">
        <w:rPr>
          <w:rFonts w:cs="Arial"/>
          <w:b/>
          <w:color w:val="auto"/>
        </w:rPr>
        <w:t>.7</w:t>
      </w:r>
      <w:r w:rsidR="006B7964" w:rsidRPr="00574D25">
        <w:rPr>
          <w:rFonts w:cs="Arial"/>
          <w:color w:val="auto"/>
        </w:rPr>
        <w:t>. Na základě součtu výsledných bodových hodnot u jednotlivých nabídek bude stanoveno pořadí úspěšnosti jednotlivých nabídek tak, že jako nejúspěšnější bude stanovena nabídka, která dosáhla nejvyšší bodové hodnoty.</w:t>
      </w:r>
      <w:bookmarkStart w:id="19" w:name="_Toc263868776"/>
      <w:bookmarkStart w:id="20" w:name="_Toc264302162"/>
      <w:bookmarkStart w:id="21" w:name="_Toc265507552"/>
      <w:bookmarkEnd w:id="14"/>
      <w:bookmarkEnd w:id="15"/>
      <w:bookmarkEnd w:id="16"/>
      <w:bookmarkEnd w:id="17"/>
      <w:bookmarkEnd w:id="18"/>
      <w:r w:rsidR="006B7964" w:rsidRPr="00574D25">
        <w:rPr>
          <w:rFonts w:cs="Arial"/>
          <w:color w:val="auto"/>
        </w:rPr>
        <w:t xml:space="preserve"> </w:t>
      </w:r>
      <w:bookmarkStart w:id="22" w:name="_Toc266955690"/>
      <w:bookmarkEnd w:id="19"/>
      <w:bookmarkEnd w:id="20"/>
      <w:bookmarkEnd w:id="21"/>
      <w:bookmarkEnd w:id="22"/>
    </w:p>
    <w:p w:rsidR="0073412B" w:rsidRPr="00574D25" w:rsidRDefault="0073412B" w:rsidP="0073412B">
      <w:pPr>
        <w:spacing w:after="200" w:line="276" w:lineRule="auto"/>
        <w:jc w:val="both"/>
        <w:outlineLvl w:val="0"/>
        <w:rPr>
          <w:rFonts w:cs="Arial"/>
          <w:color w:val="auto"/>
        </w:rPr>
      </w:pPr>
      <w:r w:rsidRPr="00E114B6">
        <w:rPr>
          <w:rFonts w:cs="Arial"/>
          <w:b/>
          <w:color w:val="auto"/>
        </w:rPr>
        <w:lastRenderedPageBreak/>
        <w:t>7</w:t>
      </w:r>
      <w:r>
        <w:rPr>
          <w:rFonts w:cs="Arial"/>
          <w:b/>
          <w:color w:val="auto"/>
        </w:rPr>
        <w:t>.8</w:t>
      </w:r>
      <w:r w:rsidRPr="00574D25">
        <w:rPr>
          <w:rFonts w:cs="Arial"/>
          <w:color w:val="auto"/>
        </w:rPr>
        <w:t xml:space="preserve">. Nabídky </w:t>
      </w:r>
      <w:r>
        <w:rPr>
          <w:rFonts w:cs="Arial"/>
          <w:color w:val="auto"/>
        </w:rPr>
        <w:t xml:space="preserve">pro část b) </w:t>
      </w:r>
      <w:r w:rsidRPr="00574D25">
        <w:rPr>
          <w:rFonts w:cs="Arial"/>
          <w:color w:val="auto"/>
        </w:rPr>
        <w:t xml:space="preserve">budou hodnoceny v souladu s ustanovením </w:t>
      </w:r>
      <w:r w:rsidRPr="00574D25">
        <w:rPr>
          <w:color w:val="auto"/>
        </w:rPr>
        <w:t xml:space="preserve">s § 114 odst. 1 zákona podle jejich ekonomické výhodnosti a </w:t>
      </w:r>
      <w:r w:rsidRPr="00574D25">
        <w:rPr>
          <w:rFonts w:cs="Arial"/>
          <w:color w:val="auto"/>
        </w:rPr>
        <w:t>následujících dílčích hodnotících kritérií, kterým jsou přiřazeny uvedené váhy:</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
        <w:gridCol w:w="4982"/>
        <w:gridCol w:w="3091"/>
      </w:tblGrid>
      <w:tr w:rsidR="0073412B" w:rsidRPr="00574D25" w:rsidTr="0073412B">
        <w:trPr>
          <w:cantSplit/>
        </w:trPr>
        <w:tc>
          <w:tcPr>
            <w:tcW w:w="5621" w:type="dxa"/>
            <w:gridSpan w:val="2"/>
            <w:shd w:val="clear" w:color="auto" w:fill="E6E6E6"/>
            <w:vAlign w:val="center"/>
          </w:tcPr>
          <w:p w:rsidR="0073412B" w:rsidRPr="00574D25" w:rsidRDefault="0073412B" w:rsidP="00671257">
            <w:pPr>
              <w:spacing w:before="120" w:line="276" w:lineRule="auto"/>
              <w:jc w:val="both"/>
              <w:rPr>
                <w:rFonts w:cs="Arial"/>
                <w:b/>
                <w:bCs/>
                <w:color w:val="auto"/>
              </w:rPr>
            </w:pPr>
            <w:r w:rsidRPr="00574D25">
              <w:rPr>
                <w:rFonts w:cs="Arial"/>
                <w:b/>
                <w:bCs/>
                <w:color w:val="auto"/>
              </w:rPr>
              <w:t>Dílčí hodnotící kritéria</w:t>
            </w:r>
          </w:p>
        </w:tc>
        <w:tc>
          <w:tcPr>
            <w:tcW w:w="3091" w:type="dxa"/>
            <w:shd w:val="clear" w:color="auto" w:fill="E6E6E6"/>
            <w:vAlign w:val="center"/>
          </w:tcPr>
          <w:p w:rsidR="0073412B" w:rsidRPr="00574D25" w:rsidRDefault="0073412B" w:rsidP="00671257">
            <w:pPr>
              <w:spacing w:before="120" w:line="276" w:lineRule="auto"/>
              <w:jc w:val="both"/>
              <w:rPr>
                <w:rFonts w:cs="Arial"/>
                <w:b/>
                <w:bCs/>
                <w:iCs/>
                <w:color w:val="auto"/>
              </w:rPr>
            </w:pPr>
            <w:r w:rsidRPr="00574D25">
              <w:rPr>
                <w:rFonts w:cs="Arial"/>
                <w:b/>
                <w:bCs/>
                <w:iCs/>
                <w:color w:val="auto"/>
              </w:rPr>
              <w:t>Váha kritéria</w:t>
            </w:r>
          </w:p>
        </w:tc>
      </w:tr>
      <w:tr w:rsidR="0073412B" w:rsidRPr="00574D25" w:rsidTr="0073412B">
        <w:trPr>
          <w:trHeight w:val="429"/>
        </w:trPr>
        <w:tc>
          <w:tcPr>
            <w:tcW w:w="639" w:type="dxa"/>
            <w:vAlign w:val="center"/>
          </w:tcPr>
          <w:p w:rsidR="0073412B" w:rsidRPr="00574D25" w:rsidRDefault="0073412B" w:rsidP="00671257">
            <w:pPr>
              <w:spacing w:before="120" w:line="276" w:lineRule="auto"/>
              <w:jc w:val="both"/>
              <w:rPr>
                <w:rFonts w:cs="Arial"/>
                <w:color w:val="auto"/>
              </w:rPr>
            </w:pPr>
            <w:r w:rsidRPr="00574D25">
              <w:rPr>
                <w:rFonts w:cs="Arial"/>
                <w:color w:val="auto"/>
              </w:rPr>
              <w:t>1.</w:t>
            </w:r>
          </w:p>
        </w:tc>
        <w:tc>
          <w:tcPr>
            <w:tcW w:w="4982" w:type="dxa"/>
            <w:vAlign w:val="center"/>
          </w:tcPr>
          <w:p w:rsidR="0073412B" w:rsidRPr="00574D25" w:rsidRDefault="0073412B" w:rsidP="00671257">
            <w:pPr>
              <w:spacing w:before="120" w:line="276" w:lineRule="auto"/>
              <w:jc w:val="both"/>
              <w:rPr>
                <w:rFonts w:cs="Arial"/>
                <w:color w:val="auto"/>
              </w:rPr>
            </w:pPr>
            <w:r w:rsidRPr="00574D25">
              <w:rPr>
                <w:rFonts w:cs="Arial"/>
                <w:color w:val="auto"/>
              </w:rPr>
              <w:t>Nabídková cena</w:t>
            </w:r>
          </w:p>
        </w:tc>
        <w:tc>
          <w:tcPr>
            <w:tcW w:w="3091" w:type="dxa"/>
            <w:vAlign w:val="center"/>
          </w:tcPr>
          <w:p w:rsidR="0073412B" w:rsidRPr="00574D25" w:rsidRDefault="0073412B" w:rsidP="00671257">
            <w:pPr>
              <w:spacing w:before="120" w:line="276" w:lineRule="auto"/>
              <w:jc w:val="both"/>
              <w:rPr>
                <w:rFonts w:cs="Arial"/>
                <w:color w:val="auto"/>
              </w:rPr>
            </w:pPr>
            <w:r>
              <w:rPr>
                <w:rFonts w:cs="Arial"/>
                <w:color w:val="auto"/>
              </w:rPr>
              <w:t>10</w:t>
            </w:r>
            <w:r w:rsidRPr="00574D25">
              <w:rPr>
                <w:rFonts w:cs="Arial"/>
                <w:color w:val="auto"/>
              </w:rPr>
              <w:t>0 %</w:t>
            </w:r>
          </w:p>
        </w:tc>
      </w:tr>
    </w:tbl>
    <w:p w:rsidR="0073412B" w:rsidRDefault="0073412B" w:rsidP="0073412B">
      <w:pPr>
        <w:tabs>
          <w:tab w:val="left" w:pos="1418"/>
        </w:tabs>
        <w:spacing w:after="200" w:line="276" w:lineRule="auto"/>
        <w:jc w:val="both"/>
        <w:outlineLvl w:val="0"/>
        <w:rPr>
          <w:rFonts w:cs="Arial"/>
          <w:color w:val="auto"/>
        </w:rPr>
      </w:pPr>
    </w:p>
    <w:p w:rsidR="0073412B" w:rsidRPr="00574D25" w:rsidRDefault="0073412B" w:rsidP="0073412B">
      <w:pPr>
        <w:tabs>
          <w:tab w:val="left" w:pos="1418"/>
        </w:tabs>
        <w:spacing w:after="200" w:line="276" w:lineRule="auto"/>
        <w:jc w:val="both"/>
        <w:outlineLvl w:val="0"/>
        <w:rPr>
          <w:rFonts w:cs="Arial"/>
          <w:color w:val="auto"/>
        </w:rPr>
      </w:pPr>
      <w:r w:rsidRPr="00E114B6">
        <w:rPr>
          <w:rFonts w:cs="Arial"/>
          <w:b/>
          <w:color w:val="auto"/>
        </w:rPr>
        <w:t>7</w:t>
      </w:r>
      <w:r>
        <w:rPr>
          <w:rFonts w:cs="Arial"/>
          <w:b/>
          <w:color w:val="auto"/>
        </w:rPr>
        <w:t>.9</w:t>
      </w:r>
      <w:r w:rsidRPr="00574D25">
        <w:rPr>
          <w:rFonts w:cs="Arial"/>
          <w:color w:val="auto"/>
        </w:rPr>
        <w:t xml:space="preserve">. </w:t>
      </w:r>
      <w:r>
        <w:rPr>
          <w:rFonts w:cs="Arial"/>
          <w:color w:val="auto"/>
        </w:rPr>
        <w:t>Varianty mezi sebou budou posuzovány na základě ročního pojistného, tj. pojistného za období 12 měsíců.</w:t>
      </w:r>
    </w:p>
    <w:p w:rsidR="00BE35C8" w:rsidRDefault="00BE35C8">
      <w:pPr>
        <w:tabs>
          <w:tab w:val="center" w:pos="2718"/>
        </w:tabs>
        <w:spacing w:after="206" w:line="249" w:lineRule="auto"/>
      </w:pPr>
    </w:p>
    <w:tbl>
      <w:tblPr>
        <w:tblStyle w:val="TableGrid"/>
        <w:tblW w:w="9300" w:type="dxa"/>
        <w:tblInd w:w="-113" w:type="dxa"/>
        <w:tblCellMar>
          <w:top w:w="71" w:type="dxa"/>
          <w:right w:w="115" w:type="dxa"/>
        </w:tblCellMar>
        <w:tblLook w:val="04A0" w:firstRow="1" w:lastRow="0" w:firstColumn="1" w:lastColumn="0" w:noHBand="0" w:noVBand="1"/>
      </w:tblPr>
      <w:tblGrid>
        <w:gridCol w:w="821"/>
        <w:gridCol w:w="8479"/>
      </w:tblGrid>
      <w:tr w:rsidR="00C26380">
        <w:trPr>
          <w:trHeight w:val="391"/>
        </w:trPr>
        <w:tc>
          <w:tcPr>
            <w:tcW w:w="821" w:type="dxa"/>
            <w:tcBorders>
              <w:top w:val="single" w:sz="4" w:space="0" w:color="000000"/>
              <w:left w:val="single" w:sz="4" w:space="0" w:color="000000"/>
              <w:bottom w:val="single" w:sz="4" w:space="0" w:color="000000"/>
              <w:right w:val="nil"/>
            </w:tcBorders>
          </w:tcPr>
          <w:p w:rsidR="00C26380" w:rsidRDefault="00225978">
            <w:pPr>
              <w:ind w:left="113"/>
            </w:pPr>
            <w:r>
              <w:rPr>
                <w:b/>
                <w:sz w:val="28"/>
              </w:rPr>
              <w:t>8</w:t>
            </w:r>
            <w:r w:rsidR="00455A63">
              <w:rPr>
                <w:b/>
                <w:sz w:val="28"/>
              </w:rPr>
              <w:t>.</w:t>
            </w:r>
            <w:r w:rsidR="00455A63">
              <w:rPr>
                <w:rFonts w:ascii="Arial" w:eastAsia="Arial" w:hAnsi="Arial" w:cs="Arial"/>
                <w:b/>
                <w:sz w:val="28"/>
              </w:rPr>
              <w:t xml:space="preserve"> </w:t>
            </w:r>
          </w:p>
        </w:tc>
        <w:tc>
          <w:tcPr>
            <w:tcW w:w="8478" w:type="dxa"/>
            <w:tcBorders>
              <w:top w:val="single" w:sz="4" w:space="0" w:color="000000"/>
              <w:left w:val="nil"/>
              <w:bottom w:val="single" w:sz="4" w:space="0" w:color="000000"/>
              <w:right w:val="single" w:sz="4" w:space="0" w:color="000000"/>
            </w:tcBorders>
          </w:tcPr>
          <w:p w:rsidR="00C26380" w:rsidRDefault="00455A63">
            <w:r>
              <w:rPr>
                <w:b/>
                <w:sz w:val="28"/>
              </w:rPr>
              <w:t xml:space="preserve">Závaznost požadavků zadavatele  </w:t>
            </w:r>
          </w:p>
        </w:tc>
      </w:tr>
    </w:tbl>
    <w:p w:rsidR="00C26380" w:rsidRDefault="00225978">
      <w:pPr>
        <w:spacing w:after="207" w:line="248" w:lineRule="auto"/>
        <w:ind w:left="-5" w:hanging="10"/>
        <w:jc w:val="both"/>
      </w:pPr>
      <w:r>
        <w:rPr>
          <w:b/>
        </w:rPr>
        <w:t>8</w:t>
      </w:r>
      <w:r w:rsidR="00455A63">
        <w:rPr>
          <w:b/>
        </w:rPr>
        <w:t>.1</w:t>
      </w:r>
      <w:r w:rsidR="00455A63">
        <w:rPr>
          <w:rFonts w:ascii="Arial" w:eastAsia="Arial" w:hAnsi="Arial" w:cs="Arial"/>
          <w:b/>
        </w:rPr>
        <w:t xml:space="preserve"> </w:t>
      </w:r>
      <w:r w:rsidR="00455A63">
        <w:t xml:space="preserve">Informace a údaje uvedené v zadávací dokumentaci vymezují závazné požadavky zadavatele na plnění veřejné zakázky. Tyto požadavky je dodavatel povinen plně a bezvýhradně respektovat při zpracování své nabídky. </w:t>
      </w:r>
    </w:p>
    <w:p w:rsidR="000A0FD4" w:rsidRDefault="000A0FD4">
      <w:pPr>
        <w:spacing w:after="207" w:line="248" w:lineRule="auto"/>
        <w:ind w:left="-5" w:hanging="10"/>
        <w:jc w:val="both"/>
      </w:pPr>
    </w:p>
    <w:tbl>
      <w:tblPr>
        <w:tblStyle w:val="TableGrid"/>
        <w:tblW w:w="9300" w:type="dxa"/>
        <w:tblInd w:w="-113" w:type="dxa"/>
        <w:tblCellMar>
          <w:top w:w="74" w:type="dxa"/>
          <w:right w:w="115" w:type="dxa"/>
        </w:tblCellMar>
        <w:tblLook w:val="04A0" w:firstRow="1" w:lastRow="0" w:firstColumn="1" w:lastColumn="0" w:noHBand="0" w:noVBand="1"/>
      </w:tblPr>
      <w:tblGrid>
        <w:gridCol w:w="821"/>
        <w:gridCol w:w="8479"/>
      </w:tblGrid>
      <w:tr w:rsidR="00C26380">
        <w:trPr>
          <w:trHeight w:val="391"/>
        </w:trPr>
        <w:tc>
          <w:tcPr>
            <w:tcW w:w="821" w:type="dxa"/>
            <w:tcBorders>
              <w:top w:val="single" w:sz="4" w:space="0" w:color="000000"/>
              <w:left w:val="single" w:sz="4" w:space="0" w:color="000000"/>
              <w:bottom w:val="single" w:sz="4" w:space="0" w:color="000000"/>
              <w:right w:val="nil"/>
            </w:tcBorders>
          </w:tcPr>
          <w:p w:rsidR="00C26380" w:rsidRDefault="00225978">
            <w:pPr>
              <w:ind w:left="113"/>
            </w:pPr>
            <w:r>
              <w:rPr>
                <w:b/>
                <w:sz w:val="28"/>
              </w:rPr>
              <w:t>9</w:t>
            </w:r>
            <w:r w:rsidR="00455A63">
              <w:rPr>
                <w:b/>
                <w:sz w:val="28"/>
              </w:rPr>
              <w:t>.</w:t>
            </w:r>
            <w:r w:rsidR="00455A63">
              <w:rPr>
                <w:rFonts w:ascii="Arial" w:eastAsia="Arial" w:hAnsi="Arial" w:cs="Arial"/>
                <w:b/>
                <w:sz w:val="28"/>
              </w:rPr>
              <w:t xml:space="preserve"> </w:t>
            </w:r>
          </w:p>
        </w:tc>
        <w:tc>
          <w:tcPr>
            <w:tcW w:w="8478" w:type="dxa"/>
            <w:tcBorders>
              <w:top w:val="single" w:sz="4" w:space="0" w:color="000000"/>
              <w:left w:val="nil"/>
              <w:bottom w:val="single" w:sz="4" w:space="0" w:color="000000"/>
              <w:right w:val="single" w:sz="4" w:space="0" w:color="000000"/>
            </w:tcBorders>
          </w:tcPr>
          <w:p w:rsidR="00C26380" w:rsidRDefault="00455A63">
            <w:r>
              <w:rPr>
                <w:b/>
                <w:sz w:val="28"/>
              </w:rPr>
              <w:t xml:space="preserve">Prohlídka místa plnění </w:t>
            </w:r>
          </w:p>
        </w:tc>
      </w:tr>
    </w:tbl>
    <w:p w:rsidR="00C26380" w:rsidRDefault="00225978">
      <w:pPr>
        <w:tabs>
          <w:tab w:val="right" w:pos="9077"/>
        </w:tabs>
        <w:spacing w:after="263" w:line="248" w:lineRule="auto"/>
        <w:ind w:left="-15"/>
      </w:pPr>
      <w:r>
        <w:rPr>
          <w:b/>
        </w:rPr>
        <w:t>9</w:t>
      </w:r>
      <w:r w:rsidR="00455A63">
        <w:rPr>
          <w:b/>
        </w:rPr>
        <w:t>.1</w:t>
      </w:r>
      <w:r w:rsidR="00455A63">
        <w:rPr>
          <w:rFonts w:ascii="Arial" w:eastAsia="Arial" w:hAnsi="Arial" w:cs="Arial"/>
          <w:b/>
        </w:rPr>
        <w:t xml:space="preserve"> </w:t>
      </w:r>
      <w:r w:rsidR="00455A63">
        <w:rPr>
          <w:rFonts w:ascii="Arial" w:eastAsia="Arial" w:hAnsi="Arial" w:cs="Arial"/>
          <w:b/>
        </w:rPr>
        <w:tab/>
      </w:r>
      <w:r w:rsidR="00455A63">
        <w:t xml:space="preserve">Zadavatel s ohledem na předmět plnění veřejné zakázky prohlídku místa plnění neorganizuje. </w:t>
      </w:r>
    </w:p>
    <w:p w:rsidR="000A0FD4" w:rsidRDefault="000A0FD4">
      <w:pPr>
        <w:tabs>
          <w:tab w:val="right" w:pos="9077"/>
        </w:tabs>
        <w:spacing w:after="263" w:line="248" w:lineRule="auto"/>
        <w:ind w:left="-15"/>
      </w:pPr>
    </w:p>
    <w:tbl>
      <w:tblPr>
        <w:tblStyle w:val="TableGrid"/>
        <w:tblW w:w="9300" w:type="dxa"/>
        <w:tblInd w:w="-113" w:type="dxa"/>
        <w:tblCellMar>
          <w:top w:w="74" w:type="dxa"/>
          <w:right w:w="115" w:type="dxa"/>
        </w:tblCellMar>
        <w:tblLook w:val="04A0" w:firstRow="1" w:lastRow="0" w:firstColumn="1" w:lastColumn="0" w:noHBand="0" w:noVBand="1"/>
      </w:tblPr>
      <w:tblGrid>
        <w:gridCol w:w="821"/>
        <w:gridCol w:w="8479"/>
      </w:tblGrid>
      <w:tr w:rsidR="00C26380">
        <w:trPr>
          <w:trHeight w:val="394"/>
        </w:trPr>
        <w:tc>
          <w:tcPr>
            <w:tcW w:w="821" w:type="dxa"/>
            <w:tcBorders>
              <w:top w:val="single" w:sz="4" w:space="0" w:color="000000"/>
              <w:left w:val="single" w:sz="4" w:space="0" w:color="000000"/>
              <w:bottom w:val="single" w:sz="4" w:space="0" w:color="000000"/>
              <w:right w:val="nil"/>
            </w:tcBorders>
          </w:tcPr>
          <w:p w:rsidR="00C26380" w:rsidRDefault="00225978">
            <w:pPr>
              <w:ind w:left="113"/>
            </w:pPr>
            <w:r>
              <w:rPr>
                <w:b/>
                <w:sz w:val="28"/>
              </w:rPr>
              <w:t>10</w:t>
            </w:r>
            <w:r w:rsidR="00455A63">
              <w:rPr>
                <w:b/>
                <w:sz w:val="28"/>
              </w:rPr>
              <w:t>.</w:t>
            </w:r>
            <w:r w:rsidR="00455A63">
              <w:rPr>
                <w:rFonts w:ascii="Arial" w:eastAsia="Arial" w:hAnsi="Arial" w:cs="Arial"/>
                <w:b/>
                <w:sz w:val="28"/>
              </w:rPr>
              <w:t xml:space="preserve"> </w:t>
            </w:r>
          </w:p>
        </w:tc>
        <w:tc>
          <w:tcPr>
            <w:tcW w:w="8478" w:type="dxa"/>
            <w:tcBorders>
              <w:top w:val="single" w:sz="4" w:space="0" w:color="000000"/>
              <w:left w:val="nil"/>
              <w:bottom w:val="single" w:sz="4" w:space="0" w:color="000000"/>
              <w:right w:val="single" w:sz="4" w:space="0" w:color="000000"/>
            </w:tcBorders>
          </w:tcPr>
          <w:p w:rsidR="00C26380" w:rsidRDefault="00455A63">
            <w:r>
              <w:rPr>
                <w:b/>
                <w:sz w:val="28"/>
              </w:rPr>
              <w:t xml:space="preserve">Vysvětlení zadávací dokumentace </w:t>
            </w:r>
          </w:p>
        </w:tc>
      </w:tr>
    </w:tbl>
    <w:p w:rsidR="00C26380" w:rsidRDefault="00E6287D">
      <w:pPr>
        <w:spacing w:after="264" w:line="249" w:lineRule="auto"/>
        <w:ind w:left="10" w:hanging="10"/>
        <w:jc w:val="both"/>
      </w:pPr>
      <w:r>
        <w:rPr>
          <w:b/>
        </w:rPr>
        <w:t>10</w:t>
      </w:r>
      <w:r w:rsidR="00455A63">
        <w:rPr>
          <w:b/>
        </w:rPr>
        <w:t>.1</w:t>
      </w:r>
      <w:r w:rsidR="00455A63">
        <w:rPr>
          <w:rFonts w:ascii="Arial" w:eastAsia="Arial" w:hAnsi="Arial" w:cs="Arial"/>
          <w:b/>
        </w:rPr>
        <w:t xml:space="preserve"> </w:t>
      </w:r>
      <w:r w:rsidR="00455A63">
        <w:t xml:space="preserve">Zadavatel může v souladu s § 98 odst. 1 </w:t>
      </w:r>
      <w:r w:rsidR="00455A63" w:rsidRPr="00160BDA">
        <w:t>zákona zadávací dokumentaci vysvětlit, pokud takové vysvětlení, případně související dokumenty, uveřejní na profilu zadavatele, a to nejméně 5 pracovních dnů před skončením lhůty pro podání nabídek</w:t>
      </w:r>
      <w:r w:rsidR="00455A63">
        <w:t xml:space="preserve">. </w:t>
      </w:r>
    </w:p>
    <w:p w:rsidR="00C26380" w:rsidRPr="00160BDA" w:rsidRDefault="00C404D4">
      <w:pPr>
        <w:spacing w:after="264" w:line="249" w:lineRule="auto"/>
        <w:ind w:left="10" w:hanging="10"/>
        <w:jc w:val="both"/>
      </w:pPr>
      <w:r>
        <w:rPr>
          <w:b/>
        </w:rPr>
        <w:t>10</w:t>
      </w:r>
      <w:r w:rsidR="00455A63">
        <w:rPr>
          <w:b/>
        </w:rPr>
        <w:t>.2</w:t>
      </w:r>
      <w:r w:rsidR="00E114B6">
        <w:rPr>
          <w:rFonts w:ascii="Arial" w:eastAsia="Arial" w:hAnsi="Arial" w:cs="Arial"/>
          <w:b/>
        </w:rPr>
        <w:t xml:space="preserve"> </w:t>
      </w:r>
      <w:r w:rsidR="00455A63">
        <w:t xml:space="preserve">Dodavatelé </w:t>
      </w:r>
      <w:r w:rsidR="00455A63" w:rsidRPr="00160BDA">
        <w:t xml:space="preserve">mohou písemně požadovat v souladu s § 98 odst. 3 zákona vysvětlení zadávací dokumentace.  </w:t>
      </w:r>
    </w:p>
    <w:p w:rsidR="00C26380" w:rsidRDefault="00C404D4">
      <w:pPr>
        <w:spacing w:after="263" w:line="248" w:lineRule="auto"/>
        <w:ind w:left="-5" w:hanging="10"/>
        <w:jc w:val="both"/>
      </w:pPr>
      <w:r>
        <w:rPr>
          <w:b/>
        </w:rPr>
        <w:t>10</w:t>
      </w:r>
      <w:r w:rsidR="00455A63">
        <w:rPr>
          <w:b/>
        </w:rPr>
        <w:t>.3</w:t>
      </w:r>
      <w:r w:rsidR="00455A63">
        <w:rPr>
          <w:rFonts w:ascii="Arial" w:eastAsia="Arial" w:hAnsi="Arial" w:cs="Arial"/>
          <w:b/>
        </w:rPr>
        <w:t xml:space="preserve"> </w:t>
      </w:r>
      <w:r w:rsidR="00455A63" w:rsidRPr="00160BDA">
        <w:t xml:space="preserve">Žádost o vysvětlení zadávací dokumentace musí dodavatelé zasílat v písemné formě v elektronické podobě k rukám zástupce zadavatele </w:t>
      </w:r>
      <w:r w:rsidR="0017673A">
        <w:rPr>
          <w:rFonts w:cs="Arial"/>
          <w:color w:val="auto"/>
        </w:rPr>
        <w:t xml:space="preserve">SATUM CZECH s.r.o., </w:t>
      </w:r>
      <w:hyperlink r:id="rId14" w:history="1">
        <w:r w:rsidR="000A0FD4" w:rsidRPr="00C642B8">
          <w:rPr>
            <w:rFonts w:cs="Arial"/>
            <w:color w:val="auto"/>
            <w:u w:val="single"/>
          </w:rPr>
          <w:t>www.satum.cz</w:t>
        </w:r>
      </w:hyperlink>
      <w:r w:rsidR="000A0FD4" w:rsidRPr="00C642B8">
        <w:rPr>
          <w:rFonts w:cs="Arial"/>
          <w:color w:val="auto"/>
          <w:u w:val="single"/>
        </w:rPr>
        <w:t xml:space="preserve">, e-mail: </w:t>
      </w:r>
      <w:proofErr w:type="spellStart"/>
      <w:proofErr w:type="gramStart"/>
      <w:r w:rsidR="000A0FD4" w:rsidRPr="00C642B8">
        <w:rPr>
          <w:rFonts w:cs="Arial"/>
          <w:color w:val="auto"/>
          <w:u w:val="single"/>
        </w:rPr>
        <w:t>katerina.durovicova</w:t>
      </w:r>
      <w:proofErr w:type="spellEnd"/>
      <w:r w:rsidR="000A0FD4" w:rsidRPr="00C642B8">
        <w:rPr>
          <w:rFonts w:cs="Arial"/>
          <w:color w:val="auto"/>
          <w:u w:val="single"/>
          <w:lang w:val="en-US"/>
        </w:rPr>
        <w:t>@</w:t>
      </w:r>
      <w:r w:rsidR="000A0FD4" w:rsidRPr="00C642B8">
        <w:rPr>
          <w:rFonts w:cs="Arial"/>
          <w:color w:val="auto"/>
          <w:u w:val="single"/>
        </w:rPr>
        <w:t>satum.cz</w:t>
      </w:r>
      <w:r w:rsidR="000A0FD4" w:rsidRPr="00C642B8">
        <w:rPr>
          <w:rFonts w:cs="Arial"/>
          <w:color w:val="auto"/>
        </w:rPr>
        <w:t xml:space="preserve">, </w:t>
      </w:r>
      <w:r w:rsidR="000A0FD4">
        <w:rPr>
          <w:rFonts w:cs="Arial"/>
          <w:color w:val="auto"/>
        </w:rPr>
        <w:t xml:space="preserve">  </w:t>
      </w:r>
      <w:proofErr w:type="gramEnd"/>
      <w:r w:rsidR="000A0FD4" w:rsidRPr="00C642B8">
        <w:rPr>
          <w:rFonts w:cs="Arial"/>
          <w:color w:val="auto"/>
        </w:rPr>
        <w:t xml:space="preserve">tel: 595 132 330. </w:t>
      </w:r>
    </w:p>
    <w:p w:rsidR="00C26380" w:rsidRDefault="00D27CD6">
      <w:pPr>
        <w:spacing w:after="263" w:line="248" w:lineRule="auto"/>
        <w:ind w:left="-5" w:hanging="10"/>
        <w:jc w:val="both"/>
      </w:pPr>
      <w:r>
        <w:rPr>
          <w:b/>
        </w:rPr>
        <w:t>10</w:t>
      </w:r>
      <w:r w:rsidR="00455A63">
        <w:rPr>
          <w:b/>
        </w:rPr>
        <w:t>.4</w:t>
      </w:r>
      <w:r w:rsidR="00455A63">
        <w:rPr>
          <w:rFonts w:ascii="Arial" w:eastAsia="Arial" w:hAnsi="Arial" w:cs="Arial"/>
          <w:b/>
        </w:rPr>
        <w:t xml:space="preserve"> </w:t>
      </w:r>
      <w:r w:rsidR="00455A63">
        <w:t xml:space="preserve">V žádosti o vysvětlení zadávací dokumentace musí být uvedeny identifikační a kontaktní údaje dodavatele a informace o tom, ke které veřejné zakázce se žádost vztahuje. </w:t>
      </w:r>
    </w:p>
    <w:p w:rsidR="00C26380" w:rsidRDefault="00D27CD6">
      <w:pPr>
        <w:spacing w:after="263" w:line="248" w:lineRule="auto"/>
        <w:ind w:left="-5" w:hanging="10"/>
        <w:jc w:val="both"/>
      </w:pPr>
      <w:r>
        <w:rPr>
          <w:b/>
        </w:rPr>
        <w:t>10</w:t>
      </w:r>
      <w:r w:rsidR="00455A63">
        <w:rPr>
          <w:b/>
        </w:rPr>
        <w:t>.5</w:t>
      </w:r>
      <w:r w:rsidR="00455A63">
        <w:rPr>
          <w:rFonts w:ascii="Arial" w:eastAsia="Arial" w:hAnsi="Arial" w:cs="Arial"/>
          <w:b/>
        </w:rPr>
        <w:t xml:space="preserve"> </w:t>
      </w:r>
      <w:r w:rsidR="00455A63">
        <w:t xml:space="preserve">Pokud o vysvětlení zadávací dokumentace písemně požádá dodavatel, zadavatel vysvětlení uveřejní, odešle nebo předá včetně přesného znění žádosti bez identifikace tohoto dodavatele. </w:t>
      </w:r>
    </w:p>
    <w:p w:rsidR="00C26380" w:rsidRDefault="00D27CD6">
      <w:pPr>
        <w:spacing w:after="264" w:line="249" w:lineRule="auto"/>
        <w:ind w:left="10" w:hanging="10"/>
        <w:jc w:val="both"/>
      </w:pPr>
      <w:r>
        <w:rPr>
          <w:b/>
        </w:rPr>
        <w:t>10</w:t>
      </w:r>
      <w:r w:rsidR="00455A63">
        <w:rPr>
          <w:b/>
        </w:rPr>
        <w:t>.6</w:t>
      </w:r>
      <w:r w:rsidR="00455A63">
        <w:rPr>
          <w:rFonts w:ascii="Arial" w:eastAsia="Arial" w:hAnsi="Arial" w:cs="Arial"/>
          <w:b/>
        </w:rPr>
        <w:t xml:space="preserve"> </w:t>
      </w:r>
      <w:r w:rsidR="00455A63" w:rsidRPr="00D27CD6">
        <w:t>Zadavatel není povinen vysvětlení poskytnout, pokud není žádost o vysvětlení doručena včas, a to alespoň 3 pracovní dny pře</w:t>
      </w:r>
      <w:r w:rsidR="00AD02EF">
        <w:t>d uplynutím lhůty podle odst. 10</w:t>
      </w:r>
      <w:r w:rsidR="00455A63" w:rsidRPr="00D27CD6">
        <w:t>.1 dokumentace zadávacího řízení.</w:t>
      </w:r>
      <w:r w:rsidR="00455A63">
        <w:t xml:space="preserve"> </w:t>
      </w:r>
    </w:p>
    <w:p w:rsidR="00C26380" w:rsidRDefault="00AD02EF">
      <w:pPr>
        <w:spacing w:after="263" w:line="248" w:lineRule="auto"/>
        <w:ind w:left="-5" w:hanging="10"/>
        <w:jc w:val="both"/>
      </w:pPr>
      <w:r>
        <w:rPr>
          <w:b/>
        </w:rPr>
        <w:t>10</w:t>
      </w:r>
      <w:r w:rsidR="00455A63">
        <w:rPr>
          <w:b/>
        </w:rPr>
        <w:t>.7</w:t>
      </w:r>
      <w:r w:rsidR="00455A63">
        <w:rPr>
          <w:rFonts w:ascii="Arial" w:eastAsia="Arial" w:hAnsi="Arial" w:cs="Arial"/>
          <w:b/>
        </w:rPr>
        <w:t xml:space="preserve"> </w:t>
      </w:r>
      <w:r w:rsidR="00455A63">
        <w:t>Pokud zadavatel na žádost o vysvětlení, která není doručena včas, vysvětlení poskytne, nem</w:t>
      </w:r>
      <w:r>
        <w:t>usí dodržet lhůty podle odst. 10</w:t>
      </w:r>
      <w:r w:rsidR="00455A63">
        <w:t xml:space="preserve">.1 dokumentace zadávacího řízení. </w:t>
      </w:r>
    </w:p>
    <w:p w:rsidR="00C26380" w:rsidRDefault="00AD02EF" w:rsidP="00160BDA">
      <w:pPr>
        <w:spacing w:after="263" w:line="248" w:lineRule="auto"/>
        <w:ind w:left="-5" w:hanging="10"/>
        <w:jc w:val="both"/>
      </w:pPr>
      <w:r>
        <w:rPr>
          <w:b/>
        </w:rPr>
        <w:lastRenderedPageBreak/>
        <w:t>10</w:t>
      </w:r>
      <w:r w:rsidR="00455A63">
        <w:rPr>
          <w:b/>
        </w:rPr>
        <w:t>.8</w:t>
      </w:r>
      <w:r w:rsidR="00455A63">
        <w:rPr>
          <w:rFonts w:ascii="Arial" w:eastAsia="Arial" w:hAnsi="Arial" w:cs="Arial"/>
          <w:b/>
        </w:rPr>
        <w:t xml:space="preserve"> </w:t>
      </w:r>
      <w:r w:rsidR="00455A63">
        <w:t xml:space="preserve">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 </w:t>
      </w:r>
    </w:p>
    <w:p w:rsidR="00160BDA" w:rsidRDefault="00160BDA" w:rsidP="00160BDA">
      <w:pPr>
        <w:spacing w:after="263" w:line="248" w:lineRule="auto"/>
        <w:ind w:left="-5" w:hanging="10"/>
        <w:jc w:val="both"/>
      </w:pPr>
    </w:p>
    <w:tbl>
      <w:tblPr>
        <w:tblStyle w:val="TableGrid"/>
        <w:tblW w:w="9300" w:type="dxa"/>
        <w:tblInd w:w="-113" w:type="dxa"/>
        <w:tblCellMar>
          <w:top w:w="74" w:type="dxa"/>
          <w:right w:w="115" w:type="dxa"/>
        </w:tblCellMar>
        <w:tblLook w:val="04A0" w:firstRow="1" w:lastRow="0" w:firstColumn="1" w:lastColumn="0" w:noHBand="0" w:noVBand="1"/>
      </w:tblPr>
      <w:tblGrid>
        <w:gridCol w:w="821"/>
        <w:gridCol w:w="8479"/>
      </w:tblGrid>
      <w:tr w:rsidR="00C26380">
        <w:trPr>
          <w:trHeight w:val="391"/>
        </w:trPr>
        <w:tc>
          <w:tcPr>
            <w:tcW w:w="821" w:type="dxa"/>
            <w:tcBorders>
              <w:top w:val="single" w:sz="4" w:space="0" w:color="000000"/>
              <w:left w:val="single" w:sz="4" w:space="0" w:color="000000"/>
              <w:bottom w:val="single" w:sz="4" w:space="0" w:color="000000"/>
              <w:right w:val="nil"/>
            </w:tcBorders>
          </w:tcPr>
          <w:p w:rsidR="00C26380" w:rsidRDefault="00AD02EF">
            <w:pPr>
              <w:ind w:left="113"/>
            </w:pPr>
            <w:r>
              <w:rPr>
                <w:b/>
                <w:sz w:val="28"/>
              </w:rPr>
              <w:t>11</w:t>
            </w:r>
            <w:r w:rsidR="00455A63">
              <w:rPr>
                <w:b/>
                <w:sz w:val="28"/>
              </w:rPr>
              <w:t>.</w:t>
            </w:r>
            <w:r w:rsidR="00455A63">
              <w:rPr>
                <w:rFonts w:ascii="Arial" w:eastAsia="Arial" w:hAnsi="Arial" w:cs="Arial"/>
                <w:b/>
                <w:sz w:val="28"/>
              </w:rPr>
              <w:t xml:space="preserve"> </w:t>
            </w:r>
          </w:p>
        </w:tc>
        <w:tc>
          <w:tcPr>
            <w:tcW w:w="8478" w:type="dxa"/>
            <w:tcBorders>
              <w:top w:val="single" w:sz="4" w:space="0" w:color="000000"/>
              <w:left w:val="nil"/>
              <w:bottom w:val="single" w:sz="4" w:space="0" w:color="000000"/>
              <w:right w:val="single" w:sz="4" w:space="0" w:color="000000"/>
            </w:tcBorders>
          </w:tcPr>
          <w:p w:rsidR="00C26380" w:rsidRDefault="00455A63">
            <w:r>
              <w:rPr>
                <w:b/>
                <w:sz w:val="28"/>
              </w:rPr>
              <w:t xml:space="preserve">Změna nebo doplnění zadávací dokumentace </w:t>
            </w:r>
          </w:p>
        </w:tc>
      </w:tr>
    </w:tbl>
    <w:p w:rsidR="00C26380" w:rsidRDefault="00AD02EF">
      <w:pPr>
        <w:spacing w:after="263" w:line="248" w:lineRule="auto"/>
        <w:ind w:left="-5" w:hanging="10"/>
        <w:jc w:val="both"/>
      </w:pPr>
      <w:r>
        <w:rPr>
          <w:b/>
        </w:rPr>
        <w:t>11</w:t>
      </w:r>
      <w:r w:rsidR="00455A63">
        <w:rPr>
          <w:b/>
        </w:rPr>
        <w:t>.1</w:t>
      </w:r>
      <w:r w:rsidR="00455A63">
        <w:rPr>
          <w:rFonts w:ascii="Arial" w:eastAsia="Arial" w:hAnsi="Arial" w:cs="Arial"/>
          <w:b/>
        </w:rPr>
        <w:t xml:space="preserve"> </w:t>
      </w:r>
      <w:r w:rsidR="00455A63">
        <w:t xml:space="preserve">Zadavatel může před uplynutím lhůty pro podání nabídek změnit nebo doplnit zadávací podmínky obsažené v zadávací dokumentaci. </w:t>
      </w:r>
    </w:p>
    <w:p w:rsidR="00C26380" w:rsidRDefault="00AD02EF">
      <w:pPr>
        <w:spacing w:after="263" w:line="248" w:lineRule="auto"/>
        <w:ind w:left="-5" w:hanging="10"/>
        <w:jc w:val="both"/>
      </w:pPr>
      <w:r>
        <w:rPr>
          <w:b/>
        </w:rPr>
        <w:t>11</w:t>
      </w:r>
      <w:r w:rsidR="00455A63">
        <w:rPr>
          <w:b/>
        </w:rPr>
        <w:t>.2</w:t>
      </w:r>
      <w:r w:rsidR="00455A63">
        <w:rPr>
          <w:rFonts w:ascii="Arial" w:eastAsia="Arial" w:hAnsi="Arial" w:cs="Arial"/>
          <w:b/>
        </w:rPr>
        <w:t xml:space="preserve"> </w:t>
      </w:r>
      <w:r w:rsidR="00455A63">
        <w:t xml:space="preserve">Změnu nebo doplnění zadávacích podmínek obsažených v zadávací dokumentaci zadavatel uveřejnění nebo oznámí dodavatelům stejným způsobem jako zadávací podmínku, která byla změněna nebo doplněna. </w:t>
      </w:r>
    </w:p>
    <w:p w:rsidR="00C26380" w:rsidRDefault="00AD02EF">
      <w:pPr>
        <w:spacing w:after="263" w:line="248" w:lineRule="auto"/>
        <w:ind w:left="-5" w:hanging="10"/>
        <w:jc w:val="both"/>
      </w:pPr>
      <w:r>
        <w:rPr>
          <w:b/>
        </w:rPr>
        <w:t>11</w:t>
      </w:r>
      <w:r w:rsidR="00455A63">
        <w:rPr>
          <w:b/>
        </w:rPr>
        <w:t>.3</w:t>
      </w:r>
      <w:r w:rsidR="00455A63">
        <w:rPr>
          <w:rFonts w:ascii="Arial" w:eastAsia="Arial" w:hAnsi="Arial" w:cs="Arial"/>
          <w:b/>
        </w:rPr>
        <w:t xml:space="preserve"> </w:t>
      </w:r>
      <w:r w:rsidR="00455A63">
        <w:t xml:space="preserve">Pokud to povaha doplnění nebo změny zadávací dokumentace vyžaduje, zadavatel současně přiměřeně prodlouží lhůtu pro podání nabídek.  </w:t>
      </w:r>
    </w:p>
    <w:p w:rsidR="00C26380" w:rsidRDefault="00AD02EF">
      <w:pPr>
        <w:spacing w:after="207" w:line="248" w:lineRule="auto"/>
        <w:ind w:left="-5" w:hanging="10"/>
        <w:jc w:val="both"/>
      </w:pPr>
      <w:r>
        <w:rPr>
          <w:b/>
        </w:rPr>
        <w:t>11</w:t>
      </w:r>
      <w:r w:rsidR="00455A63">
        <w:rPr>
          <w:b/>
        </w:rPr>
        <w:t xml:space="preserve">.4 </w:t>
      </w:r>
      <w:r w:rsidR="00455A63">
        <w:t xml:space="preserve">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 </w:t>
      </w:r>
    </w:p>
    <w:tbl>
      <w:tblPr>
        <w:tblStyle w:val="TableGrid"/>
        <w:tblW w:w="9300" w:type="dxa"/>
        <w:tblInd w:w="-113" w:type="dxa"/>
        <w:tblCellMar>
          <w:top w:w="74" w:type="dxa"/>
          <w:right w:w="115" w:type="dxa"/>
        </w:tblCellMar>
        <w:tblLook w:val="04A0" w:firstRow="1" w:lastRow="0" w:firstColumn="1" w:lastColumn="0" w:noHBand="0" w:noVBand="1"/>
      </w:tblPr>
      <w:tblGrid>
        <w:gridCol w:w="821"/>
        <w:gridCol w:w="8479"/>
      </w:tblGrid>
      <w:tr w:rsidR="00C26380" w:rsidTr="00AD02EF">
        <w:trPr>
          <w:trHeight w:val="391"/>
        </w:trPr>
        <w:tc>
          <w:tcPr>
            <w:tcW w:w="821" w:type="dxa"/>
            <w:tcBorders>
              <w:top w:val="single" w:sz="4" w:space="0" w:color="000000"/>
              <w:left w:val="single" w:sz="4" w:space="0" w:color="000000"/>
              <w:bottom w:val="single" w:sz="4" w:space="0" w:color="000000"/>
              <w:right w:val="nil"/>
            </w:tcBorders>
          </w:tcPr>
          <w:p w:rsidR="00C26380" w:rsidRDefault="00AD02EF">
            <w:pPr>
              <w:ind w:left="113"/>
            </w:pPr>
            <w:r>
              <w:rPr>
                <w:b/>
                <w:sz w:val="28"/>
              </w:rPr>
              <w:t>12</w:t>
            </w:r>
            <w:r w:rsidR="00455A63">
              <w:rPr>
                <w:b/>
                <w:sz w:val="28"/>
              </w:rPr>
              <w:t>.</w:t>
            </w:r>
            <w:r w:rsidR="00455A63">
              <w:rPr>
                <w:rFonts w:ascii="Arial" w:eastAsia="Arial" w:hAnsi="Arial" w:cs="Arial"/>
                <w:b/>
                <w:sz w:val="28"/>
              </w:rPr>
              <w:t xml:space="preserve"> </w:t>
            </w:r>
          </w:p>
        </w:tc>
        <w:tc>
          <w:tcPr>
            <w:tcW w:w="8479" w:type="dxa"/>
            <w:tcBorders>
              <w:top w:val="single" w:sz="4" w:space="0" w:color="000000"/>
              <w:left w:val="nil"/>
              <w:bottom w:val="single" w:sz="4" w:space="0" w:color="000000"/>
              <w:right w:val="single" w:sz="4" w:space="0" w:color="000000"/>
            </w:tcBorders>
          </w:tcPr>
          <w:p w:rsidR="00C26380" w:rsidRDefault="00455A63">
            <w:r>
              <w:rPr>
                <w:b/>
                <w:sz w:val="28"/>
              </w:rPr>
              <w:t xml:space="preserve">Lhůta a místo pro podání </w:t>
            </w:r>
            <w:r w:rsidR="008D10C9">
              <w:rPr>
                <w:b/>
                <w:sz w:val="28"/>
              </w:rPr>
              <w:t>žádostí o účast (nabídek)</w:t>
            </w:r>
          </w:p>
        </w:tc>
      </w:tr>
    </w:tbl>
    <w:p w:rsidR="00792266" w:rsidRDefault="00792266" w:rsidP="00816484">
      <w:pPr>
        <w:spacing w:after="207" w:line="248" w:lineRule="auto"/>
        <w:jc w:val="both"/>
      </w:pPr>
    </w:p>
    <w:p w:rsidR="00792266" w:rsidRPr="00B420DA" w:rsidRDefault="00792266" w:rsidP="00792266">
      <w:pPr>
        <w:autoSpaceDE w:val="0"/>
        <w:autoSpaceDN w:val="0"/>
        <w:adjustRightInd w:val="0"/>
        <w:spacing w:after="0" w:line="240" w:lineRule="auto"/>
        <w:jc w:val="both"/>
        <w:rPr>
          <w:color w:val="auto"/>
        </w:rPr>
      </w:pPr>
      <w:r>
        <w:rPr>
          <w:b/>
        </w:rPr>
        <w:t xml:space="preserve">12.1 </w:t>
      </w:r>
      <w:r w:rsidRPr="00792266">
        <w:t xml:space="preserve">Lhůta pro podání </w:t>
      </w:r>
      <w:r w:rsidR="008D10C9">
        <w:t>žádosti o účast</w:t>
      </w:r>
      <w:r w:rsidRPr="00792266">
        <w:t xml:space="preserve"> i zadávací lhůta jsou uvedeny v Oznámení o zah</w:t>
      </w:r>
      <w:r>
        <w:t xml:space="preserve">ájení zadávacího řízení ve Věstníku veřejných zakázek pod evidenčním číslem veřejné zakázky </w:t>
      </w:r>
      <w:r w:rsidR="00B420DA" w:rsidRPr="00B420DA">
        <w:rPr>
          <w:color w:val="auto"/>
        </w:rPr>
        <w:t>Z2018-018492</w:t>
      </w:r>
      <w:r w:rsidR="00B420DA">
        <w:rPr>
          <w:color w:val="auto"/>
        </w:rPr>
        <w:t>.</w:t>
      </w:r>
      <w:bookmarkStart w:id="23" w:name="_GoBack"/>
      <w:bookmarkEnd w:id="23"/>
    </w:p>
    <w:p w:rsidR="00792266" w:rsidRPr="00792266" w:rsidRDefault="00792266" w:rsidP="00792266">
      <w:pPr>
        <w:autoSpaceDE w:val="0"/>
        <w:autoSpaceDN w:val="0"/>
        <w:adjustRightInd w:val="0"/>
        <w:spacing w:after="0" w:line="240" w:lineRule="auto"/>
        <w:jc w:val="both"/>
      </w:pPr>
    </w:p>
    <w:p w:rsidR="00671257" w:rsidRPr="008D10C9" w:rsidRDefault="00792266" w:rsidP="008D10C9">
      <w:pPr>
        <w:rPr>
          <w:rFonts w:eastAsiaTheme="minorHAnsi" w:cs="Times New Roman"/>
          <w:color w:val="auto"/>
        </w:rPr>
      </w:pPr>
      <w:r>
        <w:rPr>
          <w:b/>
        </w:rPr>
        <w:t>12.2</w:t>
      </w:r>
      <w:r w:rsidRPr="00792266">
        <w:t xml:space="preserve"> </w:t>
      </w:r>
      <w:r w:rsidR="008D10C9">
        <w:t>Žádost o účast (n</w:t>
      </w:r>
      <w:r w:rsidRPr="00792266">
        <w:t>abídka</w:t>
      </w:r>
      <w:r w:rsidR="008D10C9">
        <w:t>)</w:t>
      </w:r>
      <w:r w:rsidRPr="00792266">
        <w:t xml:space="preserve"> se podává písemně, a to v pouze elektronické podobě buď n</w:t>
      </w:r>
      <w:r>
        <w:t>a</w:t>
      </w:r>
      <w:r w:rsidR="00671257">
        <w:t xml:space="preserve"> celý rozsah plnění </w:t>
      </w:r>
      <w:r w:rsidRPr="00792266">
        <w:t>veřejné zakázky popřípadě k je</w:t>
      </w:r>
      <w:r>
        <w:t xml:space="preserve">dnotlivé části veřejné zakázky. </w:t>
      </w:r>
      <w:r w:rsidRPr="00792266">
        <w:t>Zadavatel požaduje podání nabídky pouze v elektronické podobě</w:t>
      </w:r>
      <w:r>
        <w:t xml:space="preserve"> prostřednictvím elektronického </w:t>
      </w:r>
      <w:r w:rsidRPr="00792266">
        <w:t xml:space="preserve">nástroje Tender </w:t>
      </w:r>
      <w:proofErr w:type="spellStart"/>
      <w:r w:rsidRPr="00792266">
        <w:t>arena</w:t>
      </w:r>
      <w:proofErr w:type="spellEnd"/>
      <w:r w:rsidRPr="00792266">
        <w:t xml:space="preserve"> (dále též jen TA). </w:t>
      </w:r>
    </w:p>
    <w:p w:rsidR="00792266" w:rsidRPr="008D10C9" w:rsidRDefault="00792266" w:rsidP="00792266">
      <w:pPr>
        <w:autoSpaceDE w:val="0"/>
        <w:autoSpaceDN w:val="0"/>
        <w:adjustRightInd w:val="0"/>
        <w:spacing w:after="0" w:line="240" w:lineRule="auto"/>
        <w:jc w:val="both"/>
        <w:rPr>
          <w:color w:val="auto"/>
        </w:rPr>
      </w:pPr>
      <w:r w:rsidRPr="008D10C9">
        <w:rPr>
          <w:color w:val="auto"/>
        </w:rPr>
        <w:t xml:space="preserve">Otevírání obálek je z důvodu umožnění příjmu </w:t>
      </w:r>
      <w:r w:rsidR="008D10C9">
        <w:rPr>
          <w:color w:val="auto"/>
        </w:rPr>
        <w:t xml:space="preserve">žádostí o účast a </w:t>
      </w:r>
      <w:r w:rsidRPr="008D10C9">
        <w:rPr>
          <w:color w:val="auto"/>
        </w:rPr>
        <w:t>nabídek pouze v elektronické podobě neveřejné.</w:t>
      </w:r>
    </w:p>
    <w:p w:rsidR="00792266" w:rsidRPr="008D10C9" w:rsidRDefault="00792266" w:rsidP="00792266">
      <w:pPr>
        <w:autoSpaceDE w:val="0"/>
        <w:autoSpaceDN w:val="0"/>
        <w:adjustRightInd w:val="0"/>
        <w:spacing w:after="0" w:line="240" w:lineRule="auto"/>
        <w:jc w:val="both"/>
        <w:rPr>
          <w:color w:val="auto"/>
        </w:rPr>
      </w:pPr>
      <w:r w:rsidRPr="008D10C9">
        <w:rPr>
          <w:color w:val="auto"/>
        </w:rPr>
        <w:t>Otevírání nabídek proběhne v souladu s § 109 zákona.</w:t>
      </w:r>
    </w:p>
    <w:p w:rsidR="00671257" w:rsidRDefault="00671257" w:rsidP="00792266">
      <w:pPr>
        <w:autoSpaceDE w:val="0"/>
        <w:autoSpaceDN w:val="0"/>
        <w:adjustRightInd w:val="0"/>
        <w:spacing w:after="0" w:line="240" w:lineRule="auto"/>
        <w:jc w:val="both"/>
      </w:pPr>
    </w:p>
    <w:p w:rsidR="00792266" w:rsidRPr="00792266" w:rsidRDefault="00792266" w:rsidP="00792266">
      <w:pPr>
        <w:autoSpaceDE w:val="0"/>
        <w:autoSpaceDN w:val="0"/>
        <w:adjustRightInd w:val="0"/>
        <w:spacing w:after="0" w:line="240" w:lineRule="auto"/>
        <w:jc w:val="both"/>
      </w:pPr>
      <w:r w:rsidRPr="00792266">
        <w:t xml:space="preserve">Zadavatel uvádí podrobné informace k podání </w:t>
      </w:r>
      <w:r w:rsidR="008D10C9">
        <w:t>žádostí o účast (</w:t>
      </w:r>
      <w:r w:rsidRPr="00792266">
        <w:t>nabídek</w:t>
      </w:r>
      <w:r w:rsidR="008D10C9">
        <w:t>)</w:t>
      </w:r>
      <w:r w:rsidRPr="00792266">
        <w:t xml:space="preserve"> v elektronické podobě:</w:t>
      </w:r>
    </w:p>
    <w:p w:rsidR="00792266" w:rsidRPr="00792266" w:rsidRDefault="00792266" w:rsidP="00671257">
      <w:pPr>
        <w:pStyle w:val="Odstavecseseznamem"/>
        <w:numPr>
          <w:ilvl w:val="0"/>
          <w:numId w:val="46"/>
        </w:numPr>
        <w:autoSpaceDE w:val="0"/>
        <w:autoSpaceDN w:val="0"/>
        <w:adjustRightInd w:val="0"/>
        <w:spacing w:after="0" w:line="240" w:lineRule="auto"/>
        <w:jc w:val="both"/>
      </w:pPr>
      <w:r w:rsidRPr="00792266">
        <w:t>Pro podání nabídky v elektronické podobě bude použit cer</w:t>
      </w:r>
      <w:r w:rsidR="00671257">
        <w:t xml:space="preserve">tifikovaný elektronický nástroj </w:t>
      </w:r>
      <w:proofErr w:type="spellStart"/>
      <w:r w:rsidRPr="00792266">
        <w:t>eGORDION</w:t>
      </w:r>
      <w:proofErr w:type="spellEnd"/>
      <w:r w:rsidRPr="00792266">
        <w:t xml:space="preserve"> v. 3.3 - Tender </w:t>
      </w:r>
      <w:proofErr w:type="spellStart"/>
      <w:r w:rsidRPr="00792266">
        <w:t>arena</w:t>
      </w:r>
      <w:proofErr w:type="spellEnd"/>
      <w:r w:rsidRPr="00792266">
        <w:t xml:space="preserve">, (dále jen „Tender </w:t>
      </w:r>
      <w:proofErr w:type="spellStart"/>
      <w:r w:rsidRPr="00792266">
        <w:t>arena</w:t>
      </w:r>
      <w:proofErr w:type="spellEnd"/>
      <w:r w:rsidRPr="00792266">
        <w:t>“)</w:t>
      </w:r>
      <w:r w:rsidR="00671257">
        <w:t xml:space="preserve"> dostupný na internetové adrese </w:t>
      </w:r>
      <w:r w:rsidRPr="00792266">
        <w:t>www.tenderarena.cz, kde je rovněž dostupný podrob</w:t>
      </w:r>
      <w:r w:rsidR="00671257">
        <w:t xml:space="preserve">ný návod na jeho použití (odkaz </w:t>
      </w:r>
      <w:r w:rsidRPr="00792266">
        <w:t>„ná</w:t>
      </w:r>
      <w:r w:rsidR="00671257">
        <w:t xml:space="preserve">pověda“ v zápatí) a kontakty na </w:t>
      </w:r>
      <w:r w:rsidRPr="00792266">
        <w:t>uživatelskou podporu.</w:t>
      </w:r>
    </w:p>
    <w:p w:rsidR="00671257" w:rsidRDefault="00792266" w:rsidP="00671257">
      <w:pPr>
        <w:pStyle w:val="Odstavecseseznamem"/>
        <w:numPr>
          <w:ilvl w:val="0"/>
          <w:numId w:val="46"/>
        </w:numPr>
        <w:autoSpaceDE w:val="0"/>
        <w:autoSpaceDN w:val="0"/>
        <w:adjustRightInd w:val="0"/>
        <w:spacing w:after="0" w:line="240" w:lineRule="auto"/>
        <w:jc w:val="both"/>
      </w:pPr>
      <w:r w:rsidRPr="00792266">
        <w:t xml:space="preserve">Účastník zadávacího řízení musí pro podání </w:t>
      </w:r>
      <w:r w:rsidR="008D10C9">
        <w:t>žádosti o účast (</w:t>
      </w:r>
      <w:r w:rsidRPr="00792266">
        <w:t>nabídk</w:t>
      </w:r>
      <w:r w:rsidR="00671257">
        <w:t>y</w:t>
      </w:r>
      <w:r w:rsidR="008D10C9">
        <w:t>)</w:t>
      </w:r>
      <w:r w:rsidR="00671257">
        <w:t xml:space="preserve"> disponovat osobním počítačem, s minimálně </w:t>
      </w:r>
      <w:r w:rsidRPr="00792266">
        <w:t>následujícím výkonem: frekvence CPU 1 GHz</w:t>
      </w:r>
      <w:r w:rsidR="00671257">
        <w:t xml:space="preserve">, operační paměť 1024 MB, pevný </w:t>
      </w:r>
      <w:r w:rsidRPr="00792266">
        <w:t>disk 20 GB, osobní počítač musí být připojen k síti Internet, a to s</w:t>
      </w:r>
      <w:r w:rsidR="00671257">
        <w:t xml:space="preserve"> minimální rychlostí připojení </w:t>
      </w:r>
      <w:r w:rsidRPr="00792266">
        <w:t xml:space="preserve">2 Mbps (DOWNLOAD) / 512 </w:t>
      </w:r>
      <w:proofErr w:type="spellStart"/>
      <w:r w:rsidRPr="00792266">
        <w:t>Kbps</w:t>
      </w:r>
      <w:proofErr w:type="spellEnd"/>
      <w:r w:rsidRPr="00792266">
        <w:t xml:space="preserve"> (UPLOAD), účastník zadáva</w:t>
      </w:r>
      <w:r w:rsidR="00671257">
        <w:t xml:space="preserve">cího řízení musí mít v počítači </w:t>
      </w:r>
      <w:r w:rsidRPr="00792266">
        <w:t>nainstalovaný internetový prohlížeč (Microsoft Internet Explore</w:t>
      </w:r>
      <w:r w:rsidR="00671257">
        <w:t xml:space="preserve">r verze 9.0 nebo vyšší, </w:t>
      </w:r>
      <w:proofErr w:type="spellStart"/>
      <w:r w:rsidR="00671257">
        <w:t>Mozilla</w:t>
      </w:r>
      <w:proofErr w:type="spellEnd"/>
      <w:r w:rsidR="00671257">
        <w:t xml:space="preserve"> </w:t>
      </w:r>
      <w:proofErr w:type="spellStart"/>
      <w:r w:rsidRPr="00792266">
        <w:t>Firefox</w:t>
      </w:r>
      <w:proofErr w:type="spellEnd"/>
      <w:r w:rsidRPr="00792266">
        <w:t xml:space="preserve"> verze 30.0 a vyšší), který má nainstalo</w:t>
      </w:r>
      <w:r w:rsidR="00671257">
        <w:t>vaný SW Java verze 1.8 a vyšší.</w:t>
      </w:r>
    </w:p>
    <w:p w:rsidR="00792266" w:rsidRPr="00792266" w:rsidRDefault="00792266" w:rsidP="00671257">
      <w:pPr>
        <w:pStyle w:val="Odstavecseseznamem"/>
        <w:numPr>
          <w:ilvl w:val="0"/>
          <w:numId w:val="46"/>
        </w:numPr>
        <w:autoSpaceDE w:val="0"/>
        <w:autoSpaceDN w:val="0"/>
        <w:adjustRightInd w:val="0"/>
        <w:spacing w:after="0" w:line="240" w:lineRule="auto"/>
        <w:jc w:val="both"/>
      </w:pPr>
      <w:r w:rsidRPr="00792266">
        <w:t xml:space="preserve">Účastník zadávacího řízení musí být pro možnost podání </w:t>
      </w:r>
      <w:r w:rsidR="005A2540">
        <w:t>žádosti o účast (</w:t>
      </w:r>
      <w:r w:rsidRPr="00792266">
        <w:t>nabíd</w:t>
      </w:r>
      <w:r w:rsidR="00671257">
        <w:t>ky</w:t>
      </w:r>
      <w:r w:rsidR="005A2540">
        <w:t>)</w:t>
      </w:r>
      <w:r w:rsidR="00671257">
        <w:t xml:space="preserve"> registrován jako dodavatel v </w:t>
      </w:r>
      <w:r w:rsidRPr="00792266">
        <w:t xml:space="preserve">elektronickém nástroji Tender </w:t>
      </w:r>
      <w:proofErr w:type="spellStart"/>
      <w:r w:rsidRPr="00792266">
        <w:t>arena</w:t>
      </w:r>
      <w:proofErr w:type="spellEnd"/>
      <w:r w:rsidRPr="00792266">
        <w:t xml:space="preserve"> (odkaz „registrace dodavatele“ na webové stránce</w:t>
      </w:r>
      <w:r w:rsidR="00671257">
        <w:t xml:space="preserve"> </w:t>
      </w:r>
      <w:r w:rsidRPr="00792266">
        <w:t>www.tenderarena.cz) a uživatel dodavatele musí pro podání na</w:t>
      </w:r>
      <w:r w:rsidR="00671257">
        <w:t xml:space="preserve">bídky </w:t>
      </w:r>
      <w:r w:rsidR="00671257">
        <w:lastRenderedPageBreak/>
        <w:t xml:space="preserve">disponovat rolí „účastník </w:t>
      </w:r>
      <w:r w:rsidRPr="00792266">
        <w:t>zakázky“. Vyřízení registrace trvá max. 48 hodin (v pracovní dny) po doložení všech</w:t>
      </w:r>
      <w:r w:rsidR="00671257">
        <w:t xml:space="preserve"> </w:t>
      </w:r>
      <w:r w:rsidRPr="00792266">
        <w:t>požadovaných dokladů a není zpoplatněna.</w:t>
      </w:r>
    </w:p>
    <w:p w:rsidR="00671257" w:rsidRDefault="00792266" w:rsidP="00671257">
      <w:pPr>
        <w:pStyle w:val="Odstavecseseznamem"/>
        <w:numPr>
          <w:ilvl w:val="0"/>
          <w:numId w:val="46"/>
        </w:numPr>
        <w:autoSpaceDE w:val="0"/>
        <w:autoSpaceDN w:val="0"/>
        <w:adjustRightInd w:val="0"/>
        <w:spacing w:after="0" w:line="240" w:lineRule="auto"/>
        <w:jc w:val="both"/>
      </w:pPr>
      <w:r w:rsidRPr="00792266">
        <w:t>Zadavatel nenese odpovědnost za technické podmínky na straně účastníka zadáva</w:t>
      </w:r>
      <w:r w:rsidR="00671257">
        <w:t xml:space="preserve">cího řízení. </w:t>
      </w:r>
      <w:r w:rsidRPr="00792266">
        <w:t>Zadavatel doporučuje účastníkům zadávacího řízení zohlednit ze</w:t>
      </w:r>
      <w:r w:rsidR="00671257">
        <w:t xml:space="preserve">jména rychlost jejich připojení </w:t>
      </w:r>
      <w:r w:rsidRPr="00792266">
        <w:t>k internetu při podávání nabídky tak, aby tato byla pod</w:t>
      </w:r>
      <w:r w:rsidR="00671257">
        <w:t xml:space="preserve">ána ve lhůtě pro podání nabídek (podáním </w:t>
      </w:r>
      <w:r w:rsidRPr="00792266">
        <w:t>nabídky se rozumí finální odeslání nabídky do nástroj</w:t>
      </w:r>
      <w:r w:rsidR="00671257">
        <w:t>e po nahrání veškerých příloh).</w:t>
      </w:r>
    </w:p>
    <w:p w:rsidR="00671257" w:rsidRDefault="00671257" w:rsidP="00671257">
      <w:pPr>
        <w:autoSpaceDE w:val="0"/>
        <w:autoSpaceDN w:val="0"/>
        <w:adjustRightInd w:val="0"/>
        <w:spacing w:after="0" w:line="240" w:lineRule="auto"/>
        <w:jc w:val="both"/>
      </w:pPr>
    </w:p>
    <w:p w:rsidR="00792266" w:rsidRDefault="00671257" w:rsidP="00671257">
      <w:pPr>
        <w:autoSpaceDE w:val="0"/>
        <w:autoSpaceDN w:val="0"/>
        <w:adjustRightInd w:val="0"/>
        <w:spacing w:after="0" w:line="240" w:lineRule="auto"/>
        <w:jc w:val="both"/>
      </w:pPr>
      <w:r>
        <w:t xml:space="preserve">Nabídka v </w:t>
      </w:r>
      <w:r w:rsidR="00792266" w:rsidRPr="00792266">
        <w:t>elektronické podobě nesmí přesáhnout velikost 2</w:t>
      </w:r>
      <w:r>
        <w:t xml:space="preserve">00 MB, z čehož maximálně 100 MB dokumenty k </w:t>
      </w:r>
      <w:r w:rsidR="00792266" w:rsidRPr="00792266">
        <w:t>prokázání kvalifikace a maximálně 100 MB ostatní doku</w:t>
      </w:r>
      <w:r>
        <w:t xml:space="preserve">menty nabídky. Nabídka musí být zpracována </w:t>
      </w:r>
      <w:r w:rsidR="00792266" w:rsidRPr="00792266">
        <w:t xml:space="preserve">prostřednictvím akceptovatelných formátů souborů, tj. </w:t>
      </w:r>
      <w:r>
        <w:t xml:space="preserve">Microsoft Office (Word, Excel), </w:t>
      </w:r>
      <w:r w:rsidR="00792266" w:rsidRPr="00792266">
        <w:t>Open Office, PDF, JPEG, GIF, nebo PNG. Hodnoty nabídkových cen</w:t>
      </w:r>
      <w:r>
        <w:t xml:space="preserve"> dle specifikace uvedené v této </w:t>
      </w:r>
      <w:r w:rsidR="00792266" w:rsidRPr="00792266">
        <w:t>zadávací dokumentaci, budou účastníkem zadávacího řízení před</w:t>
      </w:r>
      <w:r>
        <w:t xml:space="preserve">loženy rovněž formou vepsání do </w:t>
      </w:r>
      <w:r w:rsidR="00792266" w:rsidRPr="00792266">
        <w:t>nabídkové</w:t>
      </w:r>
      <w:r>
        <w:t xml:space="preserve">ho </w:t>
      </w:r>
      <w:r w:rsidR="00792266" w:rsidRPr="00792266">
        <w:t xml:space="preserve">formuláře, který bude zobrazen při podání nabídky </w:t>
      </w:r>
      <w:r>
        <w:t xml:space="preserve">v elektronické podobě. Tím není </w:t>
      </w:r>
      <w:r w:rsidR="00792266" w:rsidRPr="00792266">
        <w:t>dotčena povinnost předložit součástí nabídky ostatní dokumenty obsahující nabídkovou cenu.</w:t>
      </w:r>
    </w:p>
    <w:p w:rsidR="004674FA" w:rsidRPr="00792266" w:rsidRDefault="004674FA" w:rsidP="00671257">
      <w:pPr>
        <w:autoSpaceDE w:val="0"/>
        <w:autoSpaceDN w:val="0"/>
        <w:adjustRightInd w:val="0"/>
        <w:spacing w:after="0" w:line="240" w:lineRule="auto"/>
        <w:jc w:val="both"/>
      </w:pPr>
    </w:p>
    <w:p w:rsidR="00792266" w:rsidRDefault="00792266" w:rsidP="00792266">
      <w:pPr>
        <w:autoSpaceDE w:val="0"/>
        <w:autoSpaceDN w:val="0"/>
        <w:adjustRightInd w:val="0"/>
        <w:spacing w:after="0" w:line="240" w:lineRule="auto"/>
        <w:jc w:val="both"/>
      </w:pPr>
      <w:r w:rsidRPr="00671257">
        <w:rPr>
          <w:b/>
        </w:rPr>
        <w:t>12.3.</w:t>
      </w:r>
      <w:r w:rsidRPr="00792266">
        <w:t xml:space="preserve"> </w:t>
      </w:r>
      <w:r w:rsidR="005A2540">
        <w:t>Žádost o účast (n</w:t>
      </w:r>
      <w:r w:rsidRPr="00792266">
        <w:t>abídka</w:t>
      </w:r>
      <w:r w:rsidR="005A2540">
        <w:t>)</w:t>
      </w:r>
      <w:r w:rsidRPr="00792266">
        <w:t xml:space="preserve"> bude zpracována dle formálních, technických a smluvních požadav</w:t>
      </w:r>
      <w:r w:rsidR="00671257">
        <w:t xml:space="preserve">ků zadavatele </w:t>
      </w:r>
      <w:r w:rsidRPr="00792266">
        <w:t>uvedených v této ZD. Nabídka i veškeré další doklady požadov</w:t>
      </w:r>
      <w:r w:rsidR="00671257">
        <w:t xml:space="preserve">ané ZZVZ a podmínkami, musí být </w:t>
      </w:r>
      <w:r w:rsidRPr="00792266">
        <w:t xml:space="preserve">předloženy v českém jazyce, pokud jsou vydány v jiném jazyce, musí </w:t>
      </w:r>
      <w:r w:rsidR="00671257">
        <w:t xml:space="preserve">být předložen též jejich úředně </w:t>
      </w:r>
      <w:r w:rsidRPr="00792266">
        <w:t>ověřený překlad do českého jazyka. Tato povinnost se nevz</w:t>
      </w:r>
      <w:r w:rsidR="00671257">
        <w:t xml:space="preserve">tahuje na doklady předložené ve </w:t>
      </w:r>
      <w:r w:rsidRPr="00792266">
        <w:t>slovenském jazyce.</w:t>
      </w:r>
    </w:p>
    <w:p w:rsidR="00671257" w:rsidRPr="00792266" w:rsidRDefault="00671257" w:rsidP="00792266">
      <w:pPr>
        <w:autoSpaceDE w:val="0"/>
        <w:autoSpaceDN w:val="0"/>
        <w:adjustRightInd w:val="0"/>
        <w:spacing w:after="0" w:line="240" w:lineRule="auto"/>
        <w:jc w:val="both"/>
      </w:pPr>
    </w:p>
    <w:p w:rsidR="00792266" w:rsidRPr="00792266" w:rsidRDefault="00792266" w:rsidP="00671257">
      <w:pPr>
        <w:autoSpaceDE w:val="0"/>
        <w:autoSpaceDN w:val="0"/>
        <w:adjustRightInd w:val="0"/>
        <w:spacing w:after="0" w:line="240" w:lineRule="auto"/>
        <w:jc w:val="both"/>
      </w:pPr>
      <w:r w:rsidRPr="00671257">
        <w:rPr>
          <w:b/>
        </w:rPr>
        <w:t>12.</w:t>
      </w:r>
      <w:r w:rsidR="004674FA">
        <w:rPr>
          <w:b/>
        </w:rPr>
        <w:t>4</w:t>
      </w:r>
      <w:r w:rsidRPr="00671257">
        <w:rPr>
          <w:b/>
        </w:rPr>
        <w:t>.</w:t>
      </w:r>
      <w:r w:rsidRPr="00792266">
        <w:t xml:space="preserve"> Dodavatel, který podal nabídku v zadávacím řízení, ne</w:t>
      </w:r>
      <w:r w:rsidR="00671257">
        <w:t xml:space="preserve">smí být současně osobou, jejímž </w:t>
      </w:r>
      <w:r w:rsidRPr="00792266">
        <w:t>prostřednictvím jiný dodavatel v tomtéž zadávacím řízení prokazuje kvalifikaci.</w:t>
      </w:r>
    </w:p>
    <w:p w:rsidR="00671257" w:rsidRDefault="00671257" w:rsidP="00671257">
      <w:pPr>
        <w:autoSpaceDE w:val="0"/>
        <w:autoSpaceDN w:val="0"/>
        <w:adjustRightInd w:val="0"/>
        <w:spacing w:after="0" w:line="240" w:lineRule="auto"/>
        <w:jc w:val="both"/>
      </w:pPr>
    </w:p>
    <w:p w:rsidR="00792266" w:rsidRPr="00792266" w:rsidRDefault="00792266" w:rsidP="00671257">
      <w:pPr>
        <w:autoSpaceDE w:val="0"/>
        <w:autoSpaceDN w:val="0"/>
        <w:adjustRightInd w:val="0"/>
        <w:spacing w:after="0" w:line="240" w:lineRule="auto"/>
        <w:jc w:val="both"/>
      </w:pPr>
      <w:r w:rsidRPr="00671257">
        <w:rPr>
          <w:b/>
        </w:rPr>
        <w:t>12.</w:t>
      </w:r>
      <w:r w:rsidR="004674FA">
        <w:rPr>
          <w:b/>
        </w:rPr>
        <w:t>5</w:t>
      </w:r>
      <w:r w:rsidRPr="00671257">
        <w:rPr>
          <w:b/>
        </w:rPr>
        <w:t>.</w:t>
      </w:r>
      <w:r w:rsidRPr="00792266">
        <w:t xml:space="preserve"> Zadavatel vyloučí účastníka, který podal více nabídek sa</w:t>
      </w:r>
      <w:r w:rsidR="00671257">
        <w:t xml:space="preserve">mostatně nebo společně s jinými </w:t>
      </w:r>
      <w:r w:rsidRPr="00792266">
        <w:t>dodavateli, nebo podal nabídku a současně je osobou, jejímž prostřednictvím jiný účastník zadávacího</w:t>
      </w:r>
      <w:r w:rsidR="005A2540">
        <w:t xml:space="preserve"> </w:t>
      </w:r>
      <w:r w:rsidRPr="00792266">
        <w:t>řízení v tomtéž zadávacím řízení prokazuje kvalifikaci.</w:t>
      </w:r>
    </w:p>
    <w:p w:rsidR="00671257" w:rsidRDefault="00671257" w:rsidP="00671257">
      <w:pPr>
        <w:autoSpaceDE w:val="0"/>
        <w:autoSpaceDN w:val="0"/>
        <w:adjustRightInd w:val="0"/>
        <w:spacing w:after="0" w:line="240" w:lineRule="auto"/>
        <w:jc w:val="both"/>
      </w:pPr>
    </w:p>
    <w:p w:rsidR="005A2540" w:rsidRDefault="00792266" w:rsidP="00671257">
      <w:pPr>
        <w:autoSpaceDE w:val="0"/>
        <w:autoSpaceDN w:val="0"/>
        <w:adjustRightInd w:val="0"/>
        <w:spacing w:after="0" w:line="240" w:lineRule="auto"/>
        <w:jc w:val="both"/>
      </w:pPr>
      <w:r w:rsidRPr="00671257">
        <w:rPr>
          <w:b/>
        </w:rPr>
        <w:t>12.</w:t>
      </w:r>
      <w:r w:rsidR="004674FA">
        <w:rPr>
          <w:b/>
        </w:rPr>
        <w:t>6</w:t>
      </w:r>
      <w:r w:rsidRPr="00671257">
        <w:rPr>
          <w:b/>
        </w:rPr>
        <w:t>.</w:t>
      </w:r>
      <w:r w:rsidRPr="00792266">
        <w:t xml:space="preserve"> </w:t>
      </w:r>
      <w:r w:rsidR="005A2540">
        <w:t xml:space="preserve">Z důvodu elektronického podání nabídky, kde je omezena kapacita souboru příloh, doporučuje zadavatel uchazečům nabídku podepsat jako celek a nepožaduje podpis jednotlivých návrhů pojistných smluv. Doporučujeme předložit ve formátu </w:t>
      </w:r>
      <w:proofErr w:type="spellStart"/>
      <w:r w:rsidR="005A2540">
        <w:t>word</w:t>
      </w:r>
      <w:proofErr w:type="spellEnd"/>
      <w:r w:rsidR="005A2540">
        <w:t>.</w:t>
      </w:r>
    </w:p>
    <w:p w:rsidR="00671257" w:rsidRDefault="005A2540" w:rsidP="00671257">
      <w:pPr>
        <w:autoSpaceDE w:val="0"/>
        <w:autoSpaceDN w:val="0"/>
        <w:adjustRightInd w:val="0"/>
        <w:spacing w:after="0" w:line="240" w:lineRule="auto"/>
        <w:jc w:val="both"/>
      </w:pPr>
      <w:r>
        <w:t xml:space="preserve"> </w:t>
      </w:r>
    </w:p>
    <w:p w:rsidR="00792266" w:rsidRDefault="00792266" w:rsidP="00671257">
      <w:pPr>
        <w:autoSpaceDE w:val="0"/>
        <w:autoSpaceDN w:val="0"/>
        <w:adjustRightInd w:val="0"/>
        <w:spacing w:after="0" w:line="240" w:lineRule="auto"/>
        <w:jc w:val="both"/>
      </w:pPr>
      <w:r w:rsidRPr="00671257">
        <w:rPr>
          <w:b/>
        </w:rPr>
        <w:t>12.</w:t>
      </w:r>
      <w:r w:rsidR="004674FA">
        <w:rPr>
          <w:b/>
        </w:rPr>
        <w:t>7</w:t>
      </w:r>
      <w:r w:rsidRPr="00671257">
        <w:rPr>
          <w:b/>
        </w:rPr>
        <w:t>.</w:t>
      </w:r>
      <w:r w:rsidRPr="00792266">
        <w:t xml:space="preserve"> Nabídka podaná společně několika dodavateli bude dle § 103 </w:t>
      </w:r>
      <w:r w:rsidR="00671257">
        <w:t xml:space="preserve">odst. 1 písm. f) ZZVZ obsahovat </w:t>
      </w:r>
      <w:r w:rsidRPr="00792266">
        <w:t>doklad o rozdělení odpovědnosti za plnění veřejné zakázky (odpov</w:t>
      </w:r>
      <w:r w:rsidR="00671257">
        <w:t xml:space="preserve">ědnost nesou všichni dodavatelé </w:t>
      </w:r>
      <w:r w:rsidRPr="00792266">
        <w:t>podávající společnou nabídku společně a nerozdílně) včetně o</w:t>
      </w:r>
      <w:r w:rsidR="00671257">
        <w:t xml:space="preserve">právnění pro zmocněnce společné </w:t>
      </w:r>
      <w:r w:rsidRPr="00792266">
        <w:t>nabídky, a to k podání nabídky, podpisu návrhu pojistné smlouvy / pojistn</w:t>
      </w:r>
      <w:r w:rsidR="00671257">
        <w:t xml:space="preserve">ých smluv, apod. U společné </w:t>
      </w:r>
      <w:r w:rsidRPr="00792266">
        <w:t>nabídky podané několika dodavateli bude návrh pojistné smlou</w:t>
      </w:r>
      <w:r w:rsidR="00671257">
        <w:t xml:space="preserve">vy / pojistných smluv obsahovat </w:t>
      </w:r>
      <w:r w:rsidRPr="00792266">
        <w:t>všechny smluvní strany a bude podepsán všemi dodavateli podá</w:t>
      </w:r>
      <w:r w:rsidR="00671257">
        <w:t xml:space="preserve">vající společnou nabídku, pokud </w:t>
      </w:r>
      <w:r w:rsidRPr="00792266">
        <w:t>nebude v plné moci uvedeno jinak.</w:t>
      </w:r>
    </w:p>
    <w:p w:rsidR="00EE2B95" w:rsidRDefault="00EE2B95">
      <w:pPr>
        <w:spacing w:after="204" w:line="248" w:lineRule="auto"/>
        <w:ind w:left="-5" w:hanging="10"/>
        <w:jc w:val="both"/>
      </w:pPr>
    </w:p>
    <w:tbl>
      <w:tblPr>
        <w:tblStyle w:val="TableGrid"/>
        <w:tblW w:w="9300" w:type="dxa"/>
        <w:tblInd w:w="-113" w:type="dxa"/>
        <w:tblCellMar>
          <w:top w:w="74" w:type="dxa"/>
          <w:right w:w="115" w:type="dxa"/>
        </w:tblCellMar>
        <w:tblLook w:val="04A0" w:firstRow="1" w:lastRow="0" w:firstColumn="1" w:lastColumn="0" w:noHBand="0" w:noVBand="1"/>
      </w:tblPr>
      <w:tblGrid>
        <w:gridCol w:w="821"/>
        <w:gridCol w:w="8479"/>
      </w:tblGrid>
      <w:tr w:rsidR="00C26380">
        <w:trPr>
          <w:trHeight w:val="394"/>
        </w:trPr>
        <w:tc>
          <w:tcPr>
            <w:tcW w:w="821" w:type="dxa"/>
            <w:tcBorders>
              <w:top w:val="single" w:sz="4" w:space="0" w:color="000000"/>
              <w:left w:val="single" w:sz="4" w:space="0" w:color="000000"/>
              <w:bottom w:val="single" w:sz="4" w:space="0" w:color="000000"/>
              <w:right w:val="nil"/>
            </w:tcBorders>
          </w:tcPr>
          <w:p w:rsidR="00C26380" w:rsidRDefault="00D415D8" w:rsidP="005A2540">
            <w:pPr>
              <w:ind w:left="113"/>
            </w:pPr>
            <w:r>
              <w:rPr>
                <w:b/>
                <w:sz w:val="28"/>
              </w:rPr>
              <w:t>1</w:t>
            </w:r>
            <w:r w:rsidR="005A2540">
              <w:rPr>
                <w:b/>
                <w:sz w:val="28"/>
              </w:rPr>
              <w:t>3</w:t>
            </w:r>
            <w:r w:rsidR="00455A63">
              <w:rPr>
                <w:b/>
                <w:sz w:val="28"/>
              </w:rPr>
              <w:t>.</w:t>
            </w:r>
            <w:r w:rsidR="00455A63">
              <w:rPr>
                <w:rFonts w:ascii="Arial" w:eastAsia="Arial" w:hAnsi="Arial" w:cs="Arial"/>
                <w:b/>
                <w:sz w:val="28"/>
              </w:rPr>
              <w:t xml:space="preserve"> </w:t>
            </w:r>
          </w:p>
        </w:tc>
        <w:tc>
          <w:tcPr>
            <w:tcW w:w="8478" w:type="dxa"/>
            <w:tcBorders>
              <w:top w:val="single" w:sz="4" w:space="0" w:color="000000"/>
              <w:left w:val="nil"/>
              <w:bottom w:val="single" w:sz="4" w:space="0" w:color="000000"/>
              <w:right w:val="single" w:sz="4" w:space="0" w:color="000000"/>
            </w:tcBorders>
          </w:tcPr>
          <w:p w:rsidR="00C26380" w:rsidRDefault="00455A63">
            <w:r>
              <w:rPr>
                <w:b/>
                <w:sz w:val="28"/>
              </w:rPr>
              <w:t xml:space="preserve">Zadávací lhůta </w:t>
            </w:r>
          </w:p>
        </w:tc>
      </w:tr>
    </w:tbl>
    <w:p w:rsidR="00C26380" w:rsidRDefault="005A2540">
      <w:pPr>
        <w:spacing w:after="263" w:line="248" w:lineRule="auto"/>
        <w:ind w:left="-5" w:hanging="10"/>
        <w:jc w:val="both"/>
      </w:pPr>
      <w:r>
        <w:rPr>
          <w:b/>
        </w:rPr>
        <w:t>13</w:t>
      </w:r>
      <w:r w:rsidR="00455A63">
        <w:rPr>
          <w:b/>
        </w:rPr>
        <w:t>.1</w:t>
      </w:r>
      <w:r w:rsidR="00455A63">
        <w:rPr>
          <w:rFonts w:ascii="Arial" w:eastAsia="Arial" w:hAnsi="Arial" w:cs="Arial"/>
          <w:b/>
        </w:rPr>
        <w:t xml:space="preserve"> </w:t>
      </w:r>
      <w:r w:rsidR="00455A63">
        <w:t xml:space="preserve">Zadavatel v souladu s § 40 zákona </w:t>
      </w:r>
      <w:r w:rsidR="00455A63" w:rsidRPr="008F3224">
        <w:rPr>
          <w:color w:val="auto"/>
        </w:rPr>
        <w:t xml:space="preserve">stanovuje zadávací lhůtu (lhůta, po kterou účastníci zadávacího řízení nesmí ze zadávacího řízení odstoupit) v délce </w:t>
      </w:r>
      <w:r w:rsidR="00455A63" w:rsidRPr="008F3224">
        <w:rPr>
          <w:b/>
          <w:color w:val="auto"/>
        </w:rPr>
        <w:t>240 dnů</w:t>
      </w:r>
      <w:r w:rsidR="00455A63" w:rsidRPr="008F3224">
        <w:rPr>
          <w:color w:val="auto"/>
        </w:rPr>
        <w:t xml:space="preserve">. </w:t>
      </w:r>
    </w:p>
    <w:p w:rsidR="00C26380" w:rsidRDefault="00D415D8">
      <w:pPr>
        <w:spacing w:after="204" w:line="248" w:lineRule="auto"/>
        <w:ind w:left="-5" w:hanging="10"/>
        <w:jc w:val="both"/>
        <w:rPr>
          <w:color w:val="auto"/>
        </w:rPr>
      </w:pPr>
      <w:r>
        <w:rPr>
          <w:b/>
        </w:rPr>
        <w:t>1</w:t>
      </w:r>
      <w:r w:rsidR="005A2540">
        <w:rPr>
          <w:b/>
        </w:rPr>
        <w:t>3</w:t>
      </w:r>
      <w:r w:rsidR="00455A63">
        <w:rPr>
          <w:b/>
        </w:rPr>
        <w:t>.2</w:t>
      </w:r>
      <w:r w:rsidR="00455A63">
        <w:rPr>
          <w:rFonts w:ascii="Arial" w:eastAsia="Arial" w:hAnsi="Arial" w:cs="Arial"/>
          <w:b/>
        </w:rPr>
        <w:t xml:space="preserve"> </w:t>
      </w:r>
      <w:r w:rsidR="00455A63">
        <w:t xml:space="preserve">Počátkem zadávací lhůty je konec lhůty pro podání nabídek. Zadávací lhůta neběží po dobu, ve </w:t>
      </w:r>
      <w:r w:rsidR="00455A63" w:rsidRPr="000A0FD4">
        <w:rPr>
          <w:color w:val="auto"/>
        </w:rPr>
        <w:t xml:space="preserve">které zadavatel nesmí uzavřít smlouvu podle § 246 zákona. </w:t>
      </w:r>
    </w:p>
    <w:p w:rsidR="00EE2B95" w:rsidRPr="000A0FD4" w:rsidRDefault="00EE2B95">
      <w:pPr>
        <w:spacing w:after="204" w:line="248" w:lineRule="auto"/>
        <w:ind w:left="-5" w:hanging="10"/>
        <w:jc w:val="both"/>
        <w:rPr>
          <w:color w:val="auto"/>
        </w:rPr>
      </w:pPr>
    </w:p>
    <w:tbl>
      <w:tblPr>
        <w:tblStyle w:val="TableGrid"/>
        <w:tblW w:w="9300" w:type="dxa"/>
        <w:tblInd w:w="-113" w:type="dxa"/>
        <w:tblCellMar>
          <w:top w:w="75" w:type="dxa"/>
          <w:right w:w="115" w:type="dxa"/>
        </w:tblCellMar>
        <w:tblLook w:val="04A0" w:firstRow="1" w:lastRow="0" w:firstColumn="1" w:lastColumn="0" w:noHBand="0" w:noVBand="1"/>
      </w:tblPr>
      <w:tblGrid>
        <w:gridCol w:w="821"/>
        <w:gridCol w:w="8479"/>
      </w:tblGrid>
      <w:tr w:rsidR="000A0FD4" w:rsidRPr="000A0FD4">
        <w:trPr>
          <w:trHeight w:val="394"/>
        </w:trPr>
        <w:tc>
          <w:tcPr>
            <w:tcW w:w="821" w:type="dxa"/>
            <w:tcBorders>
              <w:top w:val="single" w:sz="4" w:space="0" w:color="000000"/>
              <w:left w:val="single" w:sz="4" w:space="0" w:color="000000"/>
              <w:bottom w:val="single" w:sz="4" w:space="0" w:color="000000"/>
              <w:right w:val="nil"/>
            </w:tcBorders>
          </w:tcPr>
          <w:p w:rsidR="00C26380" w:rsidRPr="000A0FD4" w:rsidRDefault="00D415D8" w:rsidP="005A2540">
            <w:pPr>
              <w:ind w:left="113"/>
              <w:rPr>
                <w:color w:val="auto"/>
              </w:rPr>
            </w:pPr>
            <w:r w:rsidRPr="000A0FD4">
              <w:rPr>
                <w:b/>
                <w:color w:val="auto"/>
                <w:sz w:val="28"/>
              </w:rPr>
              <w:t>1</w:t>
            </w:r>
            <w:r w:rsidR="005A2540">
              <w:rPr>
                <w:b/>
                <w:color w:val="auto"/>
                <w:sz w:val="28"/>
              </w:rPr>
              <w:t>4</w:t>
            </w:r>
            <w:r w:rsidR="00455A63" w:rsidRPr="000A0FD4">
              <w:rPr>
                <w:b/>
                <w:color w:val="auto"/>
                <w:sz w:val="28"/>
              </w:rPr>
              <w:t>.</w:t>
            </w:r>
            <w:r w:rsidR="00455A63" w:rsidRPr="000A0FD4">
              <w:rPr>
                <w:rFonts w:ascii="Arial" w:eastAsia="Arial" w:hAnsi="Arial" w:cs="Arial"/>
                <w:b/>
                <w:color w:val="auto"/>
                <w:sz w:val="28"/>
              </w:rPr>
              <w:t xml:space="preserve"> </w:t>
            </w:r>
          </w:p>
        </w:tc>
        <w:tc>
          <w:tcPr>
            <w:tcW w:w="8478" w:type="dxa"/>
            <w:tcBorders>
              <w:top w:val="single" w:sz="4" w:space="0" w:color="000000"/>
              <w:left w:val="nil"/>
              <w:bottom w:val="single" w:sz="4" w:space="0" w:color="000000"/>
              <w:right w:val="single" w:sz="4" w:space="0" w:color="000000"/>
            </w:tcBorders>
          </w:tcPr>
          <w:p w:rsidR="00C26380" w:rsidRPr="000A0FD4" w:rsidRDefault="00455A63">
            <w:pPr>
              <w:rPr>
                <w:color w:val="auto"/>
              </w:rPr>
            </w:pPr>
            <w:r w:rsidRPr="000A0FD4">
              <w:rPr>
                <w:b/>
                <w:color w:val="auto"/>
                <w:sz w:val="28"/>
              </w:rPr>
              <w:t xml:space="preserve">Jistota </w:t>
            </w:r>
          </w:p>
        </w:tc>
      </w:tr>
    </w:tbl>
    <w:p w:rsidR="000A0FD4" w:rsidRPr="000A0FD4" w:rsidRDefault="005A2540" w:rsidP="00AD33D5">
      <w:pPr>
        <w:spacing w:after="200" w:line="276" w:lineRule="auto"/>
        <w:jc w:val="both"/>
        <w:outlineLvl w:val="1"/>
        <w:rPr>
          <w:color w:val="auto"/>
        </w:rPr>
      </w:pPr>
      <w:r>
        <w:rPr>
          <w:b/>
          <w:color w:val="auto"/>
        </w:rPr>
        <w:t>14</w:t>
      </w:r>
      <w:r w:rsidR="00455A63" w:rsidRPr="000A0FD4">
        <w:rPr>
          <w:b/>
          <w:color w:val="auto"/>
        </w:rPr>
        <w:t>.1</w:t>
      </w:r>
      <w:r w:rsidR="00455A63" w:rsidRPr="000A0FD4">
        <w:rPr>
          <w:rFonts w:ascii="Arial" w:eastAsia="Arial" w:hAnsi="Arial" w:cs="Arial"/>
          <w:b/>
          <w:color w:val="auto"/>
        </w:rPr>
        <w:t xml:space="preserve"> </w:t>
      </w:r>
      <w:r w:rsidR="00455A63" w:rsidRPr="000A0FD4">
        <w:rPr>
          <w:rFonts w:ascii="Arial" w:eastAsia="Arial" w:hAnsi="Arial" w:cs="Arial"/>
          <w:b/>
          <w:color w:val="auto"/>
        </w:rPr>
        <w:tab/>
      </w:r>
      <w:r w:rsidR="00455A63" w:rsidRPr="000A0FD4">
        <w:rPr>
          <w:color w:val="auto"/>
        </w:rPr>
        <w:t>Za</w:t>
      </w:r>
      <w:r w:rsidR="000A0FD4" w:rsidRPr="000A0FD4">
        <w:rPr>
          <w:color w:val="auto"/>
        </w:rPr>
        <w:t>davatel ne</w:t>
      </w:r>
      <w:r w:rsidR="00455A63" w:rsidRPr="000A0FD4">
        <w:rPr>
          <w:color w:val="auto"/>
        </w:rPr>
        <w:t>požaduje poskytnutí jistoty</w:t>
      </w:r>
      <w:r w:rsidR="000A0FD4" w:rsidRPr="000A0FD4">
        <w:rPr>
          <w:color w:val="auto"/>
        </w:rPr>
        <w:t>.</w:t>
      </w:r>
    </w:p>
    <w:p w:rsidR="00FD75E2" w:rsidRPr="004D5FA8" w:rsidRDefault="00455A63">
      <w:pPr>
        <w:spacing w:after="207" w:line="248" w:lineRule="auto"/>
        <w:ind w:left="-5" w:hanging="10"/>
        <w:jc w:val="both"/>
        <w:rPr>
          <w:color w:val="FF0000"/>
        </w:rPr>
      </w:pPr>
      <w:r w:rsidRPr="004D5FA8">
        <w:rPr>
          <w:color w:val="FF0000"/>
        </w:rPr>
        <w:lastRenderedPageBreak/>
        <w:t xml:space="preserve"> </w:t>
      </w:r>
    </w:p>
    <w:tbl>
      <w:tblPr>
        <w:tblStyle w:val="TableGrid"/>
        <w:tblW w:w="9300" w:type="dxa"/>
        <w:tblInd w:w="-113" w:type="dxa"/>
        <w:tblCellMar>
          <w:top w:w="74" w:type="dxa"/>
          <w:right w:w="115" w:type="dxa"/>
        </w:tblCellMar>
        <w:tblLook w:val="04A0" w:firstRow="1" w:lastRow="0" w:firstColumn="1" w:lastColumn="0" w:noHBand="0" w:noVBand="1"/>
      </w:tblPr>
      <w:tblGrid>
        <w:gridCol w:w="821"/>
        <w:gridCol w:w="8479"/>
      </w:tblGrid>
      <w:tr w:rsidR="00C26380">
        <w:trPr>
          <w:trHeight w:val="391"/>
        </w:trPr>
        <w:tc>
          <w:tcPr>
            <w:tcW w:w="821" w:type="dxa"/>
            <w:tcBorders>
              <w:top w:val="single" w:sz="4" w:space="0" w:color="000000"/>
              <w:left w:val="single" w:sz="4" w:space="0" w:color="000000"/>
              <w:bottom w:val="single" w:sz="4" w:space="0" w:color="000000"/>
              <w:right w:val="nil"/>
            </w:tcBorders>
          </w:tcPr>
          <w:p w:rsidR="00C26380" w:rsidRDefault="00570521" w:rsidP="005A2540">
            <w:pPr>
              <w:ind w:left="113"/>
            </w:pPr>
            <w:r>
              <w:rPr>
                <w:b/>
                <w:sz w:val="28"/>
              </w:rPr>
              <w:t>1</w:t>
            </w:r>
            <w:r w:rsidR="005A2540">
              <w:rPr>
                <w:b/>
                <w:sz w:val="28"/>
              </w:rPr>
              <w:t>5</w:t>
            </w:r>
            <w:r w:rsidR="00455A63">
              <w:rPr>
                <w:b/>
                <w:sz w:val="28"/>
              </w:rPr>
              <w:t>.</w:t>
            </w:r>
            <w:r w:rsidR="00455A63">
              <w:rPr>
                <w:rFonts w:ascii="Arial" w:eastAsia="Arial" w:hAnsi="Arial" w:cs="Arial"/>
                <w:b/>
                <w:sz w:val="28"/>
              </w:rPr>
              <w:t xml:space="preserve"> </w:t>
            </w:r>
          </w:p>
        </w:tc>
        <w:tc>
          <w:tcPr>
            <w:tcW w:w="8478" w:type="dxa"/>
            <w:tcBorders>
              <w:top w:val="single" w:sz="4" w:space="0" w:color="000000"/>
              <w:left w:val="nil"/>
              <w:bottom w:val="single" w:sz="4" w:space="0" w:color="000000"/>
              <w:right w:val="single" w:sz="4" w:space="0" w:color="000000"/>
            </w:tcBorders>
          </w:tcPr>
          <w:p w:rsidR="00C26380" w:rsidRDefault="00455A63">
            <w:r>
              <w:rPr>
                <w:b/>
                <w:sz w:val="28"/>
              </w:rPr>
              <w:t xml:space="preserve">Změny kvalifikace účastníka zadávacího řízení </w:t>
            </w:r>
          </w:p>
        </w:tc>
      </w:tr>
    </w:tbl>
    <w:p w:rsidR="00C26380" w:rsidRDefault="00455A63">
      <w:pPr>
        <w:spacing w:after="263" w:line="248" w:lineRule="auto"/>
        <w:ind w:left="-5" w:hanging="10"/>
        <w:jc w:val="both"/>
      </w:pPr>
      <w:r>
        <w:rPr>
          <w:b/>
        </w:rPr>
        <w:t>1</w:t>
      </w:r>
      <w:r w:rsidR="005A2540">
        <w:rPr>
          <w:b/>
        </w:rPr>
        <w:t>5</w:t>
      </w:r>
      <w:r>
        <w:rPr>
          <w:b/>
        </w:rPr>
        <w:t>.1</w:t>
      </w:r>
      <w:r>
        <w:rPr>
          <w:rFonts w:ascii="Arial" w:eastAsia="Arial" w:hAnsi="Arial" w:cs="Arial"/>
          <w:b/>
        </w:rPr>
        <w:t xml:space="preserve"> </w:t>
      </w:r>
      <w:r>
        <w:t xml:space="preserve">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 </w:t>
      </w:r>
    </w:p>
    <w:p w:rsidR="00C26380" w:rsidRDefault="00570521">
      <w:pPr>
        <w:spacing w:after="263" w:line="248" w:lineRule="auto"/>
        <w:ind w:left="-5" w:hanging="10"/>
        <w:jc w:val="both"/>
      </w:pPr>
      <w:r>
        <w:rPr>
          <w:b/>
        </w:rPr>
        <w:t>1</w:t>
      </w:r>
      <w:r w:rsidR="005A2540">
        <w:rPr>
          <w:b/>
        </w:rPr>
        <w:t>5</w:t>
      </w:r>
      <w:r w:rsidR="00455A63">
        <w:rPr>
          <w:b/>
        </w:rPr>
        <w:t>.2</w:t>
      </w:r>
      <w:r w:rsidR="00455A63">
        <w:rPr>
          <w:rFonts w:ascii="Arial" w:eastAsia="Arial" w:hAnsi="Arial" w:cs="Arial"/>
          <w:b/>
        </w:rPr>
        <w:t xml:space="preserve"> </w:t>
      </w:r>
      <w:r w:rsidR="00455A63">
        <w:t xml:space="preserve">Povinnost podle předchozího odstavce dokumentace zadávacího řízení účastníku zadávacího řízení nevzniká, pokud je kvalifikace změněna takovým způsobem, že </w:t>
      </w:r>
    </w:p>
    <w:p w:rsidR="00C26380" w:rsidRDefault="00455A63" w:rsidP="00254299">
      <w:pPr>
        <w:numPr>
          <w:ilvl w:val="1"/>
          <w:numId w:val="9"/>
        </w:numPr>
        <w:spacing w:after="142" w:line="248" w:lineRule="auto"/>
        <w:ind w:hanging="283"/>
        <w:jc w:val="both"/>
      </w:pPr>
      <w:r>
        <w:t xml:space="preserve">podmínky kvalifikace jsou nadále splněny, </w:t>
      </w:r>
    </w:p>
    <w:p w:rsidR="00C26380" w:rsidRDefault="00455A63" w:rsidP="00254299">
      <w:pPr>
        <w:numPr>
          <w:ilvl w:val="1"/>
          <w:numId w:val="9"/>
        </w:numPr>
        <w:spacing w:after="142" w:line="248" w:lineRule="auto"/>
        <w:ind w:hanging="283"/>
        <w:jc w:val="both"/>
      </w:pPr>
      <w:r>
        <w:t xml:space="preserve">nedošlo k ovlivnění kritérií pro snížení počtu účastníků zadávacího řízení nebo nabídek a </w:t>
      </w:r>
    </w:p>
    <w:p w:rsidR="00C26380" w:rsidRDefault="00455A63" w:rsidP="00254299">
      <w:pPr>
        <w:numPr>
          <w:ilvl w:val="1"/>
          <w:numId w:val="9"/>
        </w:numPr>
        <w:spacing w:after="263" w:line="248" w:lineRule="auto"/>
        <w:ind w:hanging="283"/>
        <w:jc w:val="both"/>
      </w:pPr>
      <w:r>
        <w:t xml:space="preserve">nedošlo k ovlivnění kritérií hodnocení nabídek. </w:t>
      </w:r>
    </w:p>
    <w:p w:rsidR="00C26380" w:rsidRDefault="00570521">
      <w:pPr>
        <w:spacing w:after="207" w:line="248" w:lineRule="auto"/>
        <w:ind w:left="-5" w:hanging="10"/>
        <w:jc w:val="both"/>
      </w:pPr>
      <w:r>
        <w:rPr>
          <w:b/>
        </w:rPr>
        <w:t>1</w:t>
      </w:r>
      <w:r w:rsidR="005A2540">
        <w:rPr>
          <w:b/>
        </w:rPr>
        <w:t>5</w:t>
      </w:r>
      <w:r w:rsidR="00455A63">
        <w:rPr>
          <w:b/>
        </w:rPr>
        <w:t xml:space="preserve">.3 </w:t>
      </w:r>
      <w:r w:rsidR="00455A63">
        <w:t>Dozví-li se zadavatel, že účastník zadávacího řízení nespln</w:t>
      </w:r>
      <w:r w:rsidR="006508AC">
        <w:t>il povinnost uvedenou v odst. 15</w:t>
      </w:r>
      <w:r w:rsidR="00455A63">
        <w:t xml:space="preserve">.1 dokumentace zadávacího řízení, zadavatel jej bezodkladně vyloučí ze zadávacího řízení. Zadavatel odešle bezodkladně účastníkovi zadávacího řízení oznámení o jeho vyloučení s odůvodněním. </w:t>
      </w:r>
    </w:p>
    <w:p w:rsidR="00584E80" w:rsidRDefault="00584E80" w:rsidP="004F5CBF">
      <w:pPr>
        <w:spacing w:after="207" w:line="248" w:lineRule="auto"/>
        <w:jc w:val="both"/>
      </w:pPr>
    </w:p>
    <w:tbl>
      <w:tblPr>
        <w:tblStyle w:val="TableGrid"/>
        <w:tblW w:w="9300" w:type="dxa"/>
        <w:tblInd w:w="-113" w:type="dxa"/>
        <w:tblCellMar>
          <w:top w:w="74" w:type="dxa"/>
          <w:right w:w="115" w:type="dxa"/>
        </w:tblCellMar>
        <w:tblLook w:val="04A0" w:firstRow="1" w:lastRow="0" w:firstColumn="1" w:lastColumn="0" w:noHBand="0" w:noVBand="1"/>
      </w:tblPr>
      <w:tblGrid>
        <w:gridCol w:w="821"/>
        <w:gridCol w:w="8479"/>
      </w:tblGrid>
      <w:tr w:rsidR="00C26380">
        <w:trPr>
          <w:trHeight w:val="391"/>
        </w:trPr>
        <w:tc>
          <w:tcPr>
            <w:tcW w:w="821" w:type="dxa"/>
            <w:tcBorders>
              <w:top w:val="single" w:sz="4" w:space="0" w:color="000000"/>
              <w:left w:val="single" w:sz="4" w:space="0" w:color="000000"/>
              <w:bottom w:val="single" w:sz="4" w:space="0" w:color="000000"/>
              <w:right w:val="nil"/>
            </w:tcBorders>
          </w:tcPr>
          <w:p w:rsidR="00C26380" w:rsidRDefault="00570521" w:rsidP="005A2540">
            <w:pPr>
              <w:ind w:left="113"/>
            </w:pPr>
            <w:r>
              <w:rPr>
                <w:b/>
                <w:sz w:val="28"/>
              </w:rPr>
              <w:t>1</w:t>
            </w:r>
            <w:r w:rsidR="005A2540">
              <w:rPr>
                <w:b/>
                <w:sz w:val="28"/>
              </w:rPr>
              <w:t>6</w:t>
            </w:r>
            <w:r w:rsidR="00455A63">
              <w:rPr>
                <w:b/>
                <w:sz w:val="28"/>
              </w:rPr>
              <w:t>.</w:t>
            </w:r>
            <w:r w:rsidR="00455A63">
              <w:rPr>
                <w:rFonts w:ascii="Arial" w:eastAsia="Arial" w:hAnsi="Arial" w:cs="Arial"/>
                <w:b/>
                <w:sz w:val="28"/>
              </w:rPr>
              <w:t xml:space="preserve"> </w:t>
            </w:r>
          </w:p>
        </w:tc>
        <w:tc>
          <w:tcPr>
            <w:tcW w:w="8478" w:type="dxa"/>
            <w:tcBorders>
              <w:top w:val="single" w:sz="4" w:space="0" w:color="000000"/>
              <w:left w:val="nil"/>
              <w:bottom w:val="single" w:sz="4" w:space="0" w:color="000000"/>
              <w:right w:val="single" w:sz="4" w:space="0" w:color="000000"/>
            </w:tcBorders>
          </w:tcPr>
          <w:p w:rsidR="00C26380" w:rsidRDefault="00455A63">
            <w:r>
              <w:rPr>
                <w:b/>
                <w:sz w:val="28"/>
              </w:rPr>
              <w:t xml:space="preserve">Podmínky a požadavky na zpracování a podání </w:t>
            </w:r>
            <w:r w:rsidR="00CF24E6">
              <w:rPr>
                <w:b/>
                <w:sz w:val="28"/>
              </w:rPr>
              <w:t>žádosti o účast (</w:t>
            </w:r>
            <w:r>
              <w:rPr>
                <w:b/>
                <w:sz w:val="28"/>
              </w:rPr>
              <w:t>nabídky</w:t>
            </w:r>
            <w:r w:rsidR="00CF24E6">
              <w:rPr>
                <w:b/>
                <w:sz w:val="28"/>
              </w:rPr>
              <w:t>)</w:t>
            </w:r>
            <w:r>
              <w:rPr>
                <w:b/>
                <w:sz w:val="28"/>
              </w:rPr>
              <w:t xml:space="preserve"> </w:t>
            </w:r>
          </w:p>
        </w:tc>
      </w:tr>
    </w:tbl>
    <w:p w:rsidR="00C26380" w:rsidRDefault="006D07DC">
      <w:pPr>
        <w:tabs>
          <w:tab w:val="center" w:pos="2855"/>
        </w:tabs>
        <w:spacing w:after="262" w:line="249" w:lineRule="auto"/>
        <w:ind w:left="-15"/>
      </w:pPr>
      <w:proofErr w:type="gramStart"/>
      <w:r>
        <w:rPr>
          <w:b/>
        </w:rPr>
        <w:t>16</w:t>
      </w:r>
      <w:r w:rsidR="00455A63">
        <w:rPr>
          <w:b/>
        </w:rPr>
        <w:t>.1</w:t>
      </w:r>
      <w:r w:rsidR="00CF24E6">
        <w:rPr>
          <w:rFonts w:ascii="Arial" w:eastAsia="Arial" w:hAnsi="Arial" w:cs="Arial"/>
          <w:b/>
        </w:rPr>
        <w:t xml:space="preserve"> </w:t>
      </w:r>
      <w:r w:rsidR="00CF24E6">
        <w:t xml:space="preserve"> Žádosti</w:t>
      </w:r>
      <w:proofErr w:type="gramEnd"/>
      <w:r w:rsidR="00CF24E6">
        <w:t xml:space="preserve"> o účast (n</w:t>
      </w:r>
      <w:r w:rsidR="00455A63">
        <w:t>abídky</w:t>
      </w:r>
      <w:r w:rsidR="00CF24E6">
        <w:t>)</w:t>
      </w:r>
      <w:r w:rsidR="00455A63">
        <w:t xml:space="preserve"> se podávají </w:t>
      </w:r>
      <w:r w:rsidR="00CF24E6">
        <w:rPr>
          <w:b/>
          <w:u w:val="single" w:color="000000"/>
        </w:rPr>
        <w:t>pouze v elektronické podobě.</w:t>
      </w:r>
      <w:r w:rsidR="00455A63">
        <w:t xml:space="preserve"> </w:t>
      </w:r>
    </w:p>
    <w:p w:rsidR="00C26380" w:rsidRDefault="006D07DC">
      <w:pPr>
        <w:spacing w:after="263" w:line="248" w:lineRule="auto"/>
        <w:ind w:left="-5" w:hanging="10"/>
        <w:jc w:val="both"/>
      </w:pPr>
      <w:r>
        <w:rPr>
          <w:b/>
        </w:rPr>
        <w:t>16</w:t>
      </w:r>
      <w:r w:rsidR="00455A63">
        <w:rPr>
          <w:b/>
        </w:rPr>
        <w:t>.</w:t>
      </w:r>
      <w:r>
        <w:rPr>
          <w:b/>
        </w:rPr>
        <w:t>2</w:t>
      </w:r>
      <w:r w:rsidR="00455A63">
        <w:rPr>
          <w:rFonts w:ascii="Arial" w:eastAsia="Arial" w:hAnsi="Arial" w:cs="Arial"/>
          <w:b/>
        </w:rPr>
        <w:t xml:space="preserve"> </w:t>
      </w:r>
      <w:r w:rsidR="00455A63">
        <w:t xml:space="preserve">Pokud nebude </w:t>
      </w:r>
      <w:r w:rsidR="00CF24E6">
        <w:t>žádost o účast (</w:t>
      </w:r>
      <w:r w:rsidR="00455A63">
        <w:t>nabídka</w:t>
      </w:r>
      <w:r w:rsidR="00CF24E6">
        <w:t>)</w:t>
      </w:r>
      <w:r w:rsidR="00455A63">
        <w:t xml:space="preserve"> zadavateli doručena ve lhůtě </w:t>
      </w:r>
      <w:r w:rsidR="00CF24E6">
        <w:t>a</w:t>
      </w:r>
      <w:r w:rsidR="00455A63">
        <w:t xml:space="preserve"> způsobem stanoveným v zadávací dokumentaci, nepovažuje se za podanou a v průběhu zadávacího řízení se k ní nepřihlíží. </w:t>
      </w:r>
    </w:p>
    <w:p w:rsidR="00C26380" w:rsidRPr="008F3224" w:rsidRDefault="006D07DC">
      <w:pPr>
        <w:tabs>
          <w:tab w:val="center" w:pos="3411"/>
        </w:tabs>
        <w:spacing w:after="263" w:line="248" w:lineRule="auto"/>
        <w:ind w:left="-15"/>
        <w:rPr>
          <w:color w:val="auto"/>
        </w:rPr>
      </w:pPr>
      <w:r>
        <w:rPr>
          <w:b/>
        </w:rPr>
        <w:t>16</w:t>
      </w:r>
      <w:r w:rsidR="00455A63">
        <w:rPr>
          <w:b/>
        </w:rPr>
        <w:t>.</w:t>
      </w:r>
      <w:r>
        <w:rPr>
          <w:b/>
        </w:rPr>
        <w:t>3</w:t>
      </w:r>
      <w:r w:rsidR="00455A63">
        <w:rPr>
          <w:rFonts w:ascii="Arial" w:eastAsia="Arial" w:hAnsi="Arial" w:cs="Arial"/>
          <w:b/>
        </w:rPr>
        <w:t xml:space="preserve"> </w:t>
      </w:r>
      <w:r w:rsidR="00455A63">
        <w:rPr>
          <w:rFonts w:ascii="Arial" w:eastAsia="Arial" w:hAnsi="Arial" w:cs="Arial"/>
          <w:b/>
        </w:rPr>
        <w:tab/>
      </w:r>
      <w:r w:rsidR="00455A63">
        <w:t>Dodavatel může podat v zadávacím řízení jen jednu nabídku</w:t>
      </w:r>
      <w:r w:rsidR="00CF24E6">
        <w:t>, ale může podat samostatně nabídku pro část a) a samostatně pro část b).</w:t>
      </w:r>
    </w:p>
    <w:p w:rsidR="00C26380" w:rsidRDefault="006D07DC">
      <w:pPr>
        <w:spacing w:after="263" w:line="248" w:lineRule="auto"/>
        <w:ind w:left="-5" w:hanging="10"/>
        <w:jc w:val="both"/>
      </w:pPr>
      <w:r>
        <w:rPr>
          <w:b/>
        </w:rPr>
        <w:t>16</w:t>
      </w:r>
      <w:r w:rsidR="00455A63">
        <w:rPr>
          <w:b/>
        </w:rPr>
        <w:t>.</w:t>
      </w:r>
      <w:r>
        <w:rPr>
          <w:b/>
        </w:rPr>
        <w:t>4</w:t>
      </w:r>
      <w:r w:rsidR="00455A63">
        <w:rPr>
          <w:rFonts w:ascii="Arial" w:eastAsia="Arial" w:hAnsi="Arial" w:cs="Arial"/>
          <w:b/>
        </w:rPr>
        <w:t xml:space="preserve"> </w:t>
      </w:r>
      <w:r w:rsidR="00455A63">
        <w:t xml:space="preserve">Dodavatel, který podal nabídku v zadávacím řízení, nesmí být současně osobou, jejímž prostřednictvím jiný dodavatel v tomtéž zadávacím řízení prokazuje kvalifikaci. </w:t>
      </w:r>
    </w:p>
    <w:p w:rsidR="00C26380" w:rsidRDefault="006D07DC">
      <w:pPr>
        <w:spacing w:after="263" w:line="248" w:lineRule="auto"/>
        <w:ind w:left="-5" w:hanging="10"/>
        <w:jc w:val="both"/>
      </w:pPr>
      <w:r>
        <w:rPr>
          <w:b/>
        </w:rPr>
        <w:t>16</w:t>
      </w:r>
      <w:r w:rsidR="00455A63">
        <w:rPr>
          <w:b/>
        </w:rPr>
        <w:t>.</w:t>
      </w:r>
      <w:r>
        <w:rPr>
          <w:b/>
        </w:rPr>
        <w:t>5</w:t>
      </w:r>
      <w:r w:rsidR="00455A63">
        <w:rPr>
          <w:rFonts w:ascii="Arial" w:eastAsia="Arial" w:hAnsi="Arial" w:cs="Arial"/>
          <w:b/>
        </w:rPr>
        <w:t xml:space="preserve"> </w:t>
      </w:r>
      <w:r w:rsidR="00455A63">
        <w:t xml:space="preserve">Zadavatel podle § 107 odst. 5 zákona vyloučí ze zadávacího řízení účastníka zadávacího řízení, který podal v tomtéž zadávacím řízení více nabídek samostatně nebo společně s jinými dodavateli, nebo podal nabídku a současně je osobou, jejímž prostřednictvím jiný účastník zadávacího řízení v tomtéž zadávacím řízení prokazuje kvalifikaci. Zadavatel odešle bezodkladně účastníkovi zadávacího řízení oznámení o jeho vyloučení s odůvodněním. </w:t>
      </w:r>
    </w:p>
    <w:p w:rsidR="00C26380" w:rsidRDefault="006D07DC">
      <w:pPr>
        <w:spacing w:after="262" w:line="249" w:lineRule="auto"/>
        <w:ind w:left="-5" w:hanging="10"/>
        <w:jc w:val="both"/>
      </w:pPr>
      <w:r>
        <w:rPr>
          <w:b/>
        </w:rPr>
        <w:t>16</w:t>
      </w:r>
      <w:r w:rsidR="00455A63">
        <w:rPr>
          <w:b/>
        </w:rPr>
        <w:t>.</w:t>
      </w:r>
      <w:r>
        <w:rPr>
          <w:b/>
        </w:rPr>
        <w:t>6</w:t>
      </w:r>
      <w:r w:rsidR="00455A63">
        <w:rPr>
          <w:rFonts w:ascii="Arial" w:eastAsia="Arial" w:hAnsi="Arial" w:cs="Arial"/>
          <w:b/>
        </w:rPr>
        <w:t xml:space="preserve"> </w:t>
      </w:r>
      <w:r w:rsidR="00455A63">
        <w:rPr>
          <w:b/>
          <w:u w:val="single" w:color="000000"/>
        </w:rPr>
        <w:t>Součástí nabídky musí být čestné prohlášení o akceptaci veškerých podmínek a požadavků</w:t>
      </w:r>
      <w:r w:rsidR="00455A63">
        <w:rPr>
          <w:b/>
        </w:rPr>
        <w:t xml:space="preserve"> </w:t>
      </w:r>
      <w:r w:rsidR="00455A63">
        <w:rPr>
          <w:b/>
          <w:u w:val="single" w:color="000000"/>
        </w:rPr>
        <w:t>zadavatele uvedených v zadávací dokumentaci.</w:t>
      </w:r>
      <w:r w:rsidR="00455A63">
        <w:rPr>
          <w:b/>
        </w:rPr>
        <w:t xml:space="preserve"> </w:t>
      </w:r>
    </w:p>
    <w:p w:rsidR="00C26380" w:rsidRDefault="00570521">
      <w:pPr>
        <w:spacing w:after="263" w:line="248" w:lineRule="auto"/>
        <w:ind w:left="-5" w:hanging="10"/>
        <w:jc w:val="both"/>
      </w:pPr>
      <w:r>
        <w:rPr>
          <w:b/>
        </w:rPr>
        <w:t>1</w:t>
      </w:r>
      <w:r w:rsidR="006D07DC">
        <w:rPr>
          <w:b/>
        </w:rPr>
        <w:t>6</w:t>
      </w:r>
      <w:r w:rsidR="00455A63">
        <w:rPr>
          <w:b/>
        </w:rPr>
        <w:t>.</w:t>
      </w:r>
      <w:r w:rsidR="006D07DC">
        <w:rPr>
          <w:b/>
        </w:rPr>
        <w:t>7</w:t>
      </w:r>
      <w:r w:rsidR="00455A63">
        <w:rPr>
          <w:rFonts w:ascii="Arial" w:eastAsia="Arial" w:hAnsi="Arial" w:cs="Arial"/>
          <w:b/>
        </w:rPr>
        <w:t xml:space="preserve"> </w:t>
      </w:r>
      <w:r w:rsidR="00455A63">
        <w:t>V</w:t>
      </w:r>
      <w:r w:rsidR="00CF24E6">
        <w:t> žádosti o účast musí být uvedeny</w:t>
      </w:r>
      <w:r w:rsidR="00455A63">
        <w:t xml:space="preserve">:  </w:t>
      </w:r>
    </w:p>
    <w:p w:rsidR="00C26380" w:rsidRDefault="00455A63" w:rsidP="00254299">
      <w:pPr>
        <w:numPr>
          <w:ilvl w:val="1"/>
          <w:numId w:val="10"/>
        </w:numPr>
        <w:spacing w:after="146" w:line="248" w:lineRule="auto"/>
        <w:ind w:hanging="283"/>
        <w:jc w:val="both"/>
      </w:pPr>
      <w:r>
        <w:t xml:space="preserve">identifikační údaje účastníka zadávacího řízení v rozsahu uvedeném v § 28 odst. 1 písm. g) zákona, </w:t>
      </w:r>
    </w:p>
    <w:p w:rsidR="00C26380" w:rsidRDefault="00455A63" w:rsidP="00254299">
      <w:pPr>
        <w:numPr>
          <w:ilvl w:val="1"/>
          <w:numId w:val="10"/>
        </w:numPr>
        <w:spacing w:after="146" w:line="248" w:lineRule="auto"/>
        <w:ind w:hanging="283"/>
        <w:jc w:val="both"/>
      </w:pPr>
      <w:r>
        <w:t xml:space="preserve">identifikace části veřejné zakázky, do které je nabídka podávána, je-li veřejná zakázka rozdělena na části, </w:t>
      </w:r>
    </w:p>
    <w:p w:rsidR="00BA47A0" w:rsidRDefault="006D07DC" w:rsidP="00254299">
      <w:pPr>
        <w:numPr>
          <w:ilvl w:val="1"/>
          <w:numId w:val="10"/>
        </w:numPr>
        <w:spacing w:after="1" w:line="376" w:lineRule="auto"/>
        <w:ind w:hanging="283"/>
        <w:jc w:val="both"/>
      </w:pPr>
      <w:r>
        <w:t>doklady prokazující splnění kvalifikace</w:t>
      </w:r>
      <w:r w:rsidR="00CF24E6">
        <w:t>,</w:t>
      </w:r>
    </w:p>
    <w:p w:rsidR="00C26380" w:rsidRDefault="006D07DC" w:rsidP="00254299">
      <w:pPr>
        <w:numPr>
          <w:ilvl w:val="1"/>
          <w:numId w:val="10"/>
        </w:numPr>
        <w:spacing w:after="1" w:line="376" w:lineRule="auto"/>
        <w:ind w:hanging="283"/>
        <w:jc w:val="both"/>
      </w:pPr>
      <w:r>
        <w:lastRenderedPageBreak/>
        <w:t>čestné prohlášení</w:t>
      </w:r>
      <w:r w:rsidR="005544F4">
        <w:t xml:space="preserve"> (viz příloha A)</w:t>
      </w:r>
      <w:r>
        <w:t>.</w:t>
      </w:r>
    </w:p>
    <w:p w:rsidR="00C26380" w:rsidRDefault="00570521">
      <w:pPr>
        <w:spacing w:after="263" w:line="248" w:lineRule="auto"/>
        <w:ind w:left="-5" w:hanging="10"/>
        <w:jc w:val="both"/>
      </w:pPr>
      <w:r>
        <w:rPr>
          <w:b/>
        </w:rPr>
        <w:t>1</w:t>
      </w:r>
      <w:r w:rsidR="006D07DC">
        <w:rPr>
          <w:b/>
        </w:rPr>
        <w:t>6</w:t>
      </w:r>
      <w:r w:rsidR="00455A63">
        <w:rPr>
          <w:b/>
        </w:rPr>
        <w:t>.</w:t>
      </w:r>
      <w:r w:rsidR="006D07DC">
        <w:rPr>
          <w:b/>
        </w:rPr>
        <w:t>8</w:t>
      </w:r>
      <w:r w:rsidR="00455A63">
        <w:rPr>
          <w:rFonts w:ascii="Arial" w:eastAsia="Arial" w:hAnsi="Arial" w:cs="Arial"/>
          <w:b/>
        </w:rPr>
        <w:t xml:space="preserve"> </w:t>
      </w:r>
      <w:r w:rsidR="00455A63">
        <w:t>N</w:t>
      </w:r>
      <w:r w:rsidR="006D07DC">
        <w:t>ásledná n</w:t>
      </w:r>
      <w:r w:rsidR="00455A63">
        <w:t xml:space="preserve">abídka bude předložena v následující struktuře:  </w:t>
      </w:r>
    </w:p>
    <w:p w:rsidR="00C26380" w:rsidRDefault="00455A63" w:rsidP="00254299">
      <w:pPr>
        <w:numPr>
          <w:ilvl w:val="1"/>
          <w:numId w:val="11"/>
        </w:numPr>
        <w:spacing w:after="142" w:line="248" w:lineRule="auto"/>
        <w:ind w:hanging="283"/>
        <w:jc w:val="both"/>
      </w:pPr>
      <w:r>
        <w:t xml:space="preserve">krycí list nabídky, </w:t>
      </w:r>
    </w:p>
    <w:p w:rsidR="00C26380" w:rsidRDefault="00455A63" w:rsidP="00254299">
      <w:pPr>
        <w:numPr>
          <w:ilvl w:val="1"/>
          <w:numId w:val="11"/>
        </w:numPr>
        <w:spacing w:after="142" w:line="248" w:lineRule="auto"/>
        <w:ind w:hanging="283"/>
        <w:jc w:val="both"/>
      </w:pPr>
      <w:r>
        <w:t xml:space="preserve">obsah nabídky (s uvedením čísel stránek), </w:t>
      </w:r>
    </w:p>
    <w:p w:rsidR="00C26380" w:rsidRDefault="006D07DC" w:rsidP="00254299">
      <w:pPr>
        <w:numPr>
          <w:ilvl w:val="1"/>
          <w:numId w:val="11"/>
        </w:numPr>
        <w:spacing w:after="146" w:line="248" w:lineRule="auto"/>
        <w:ind w:hanging="283"/>
        <w:jc w:val="both"/>
      </w:pPr>
      <w:r>
        <w:t>řádně doplněný návrh smlouvy</w:t>
      </w:r>
      <w:r w:rsidR="00455A63">
        <w:t xml:space="preserve">, </w:t>
      </w:r>
    </w:p>
    <w:p w:rsidR="00C26380" w:rsidRDefault="00455A63" w:rsidP="00254299">
      <w:pPr>
        <w:numPr>
          <w:ilvl w:val="1"/>
          <w:numId w:val="11"/>
        </w:numPr>
        <w:spacing w:after="139" w:line="248" w:lineRule="auto"/>
        <w:ind w:hanging="283"/>
        <w:jc w:val="both"/>
      </w:pPr>
      <w:r>
        <w:t>c</w:t>
      </w:r>
      <w:r w:rsidR="00BA47A0">
        <w:t xml:space="preserve">ena </w:t>
      </w:r>
      <w:r w:rsidR="006D07DC">
        <w:t>(roční pojistné)</w:t>
      </w:r>
      <w:r>
        <w:t xml:space="preserve">, </w:t>
      </w:r>
    </w:p>
    <w:p w:rsidR="00C26380" w:rsidRDefault="00EE2B95" w:rsidP="00254299">
      <w:pPr>
        <w:numPr>
          <w:ilvl w:val="1"/>
          <w:numId w:val="11"/>
        </w:numPr>
        <w:spacing w:after="143" w:line="248" w:lineRule="auto"/>
        <w:ind w:hanging="283"/>
        <w:jc w:val="both"/>
      </w:pPr>
      <w:r>
        <w:t>ostatní dokumenty.</w:t>
      </w:r>
    </w:p>
    <w:p w:rsidR="00CF24E6" w:rsidRPr="00CF24E6" w:rsidRDefault="00CF24E6" w:rsidP="00CF24E6">
      <w:pPr>
        <w:spacing w:after="263" w:line="248" w:lineRule="auto"/>
        <w:jc w:val="both"/>
        <w:rPr>
          <w:color w:val="auto"/>
        </w:rPr>
      </w:pPr>
      <w:r>
        <w:t xml:space="preserve">Krycí list zadavatel doporučuje zpracovat podle předlohy </w:t>
      </w:r>
      <w:r w:rsidRPr="00CF24E6">
        <w:rPr>
          <w:color w:val="auto"/>
        </w:rPr>
        <w:t xml:space="preserve">(Příloha č. 10 dokumentace zadávacího řízení). </w:t>
      </w:r>
    </w:p>
    <w:p w:rsidR="00C26380" w:rsidRDefault="00570521">
      <w:pPr>
        <w:spacing w:after="207" w:line="248" w:lineRule="auto"/>
        <w:ind w:left="-5" w:hanging="10"/>
        <w:jc w:val="both"/>
      </w:pPr>
      <w:r>
        <w:rPr>
          <w:b/>
        </w:rPr>
        <w:t>1</w:t>
      </w:r>
      <w:r w:rsidR="006D07DC">
        <w:rPr>
          <w:b/>
        </w:rPr>
        <w:t>6</w:t>
      </w:r>
      <w:r w:rsidR="00455A63">
        <w:rPr>
          <w:b/>
        </w:rPr>
        <w:t>.</w:t>
      </w:r>
      <w:r w:rsidR="006D07DC">
        <w:rPr>
          <w:b/>
        </w:rPr>
        <w:t>9</w:t>
      </w:r>
      <w:r w:rsidR="00455A63">
        <w:rPr>
          <w:rFonts w:ascii="Arial" w:eastAsia="Arial" w:hAnsi="Arial" w:cs="Arial"/>
          <w:b/>
        </w:rPr>
        <w:t xml:space="preserve"> </w:t>
      </w:r>
      <w:r w:rsidR="00455A63">
        <w:t xml:space="preserve">Požadavky na </w:t>
      </w:r>
      <w:r w:rsidR="006508AC">
        <w:t>formu nabídky uvedené v odst. 16.7 až 16.8</w:t>
      </w:r>
      <w:r w:rsidR="00455A63">
        <w:t xml:space="preserve"> dokumentace zadávacího řízení mají doporučující charakter. </w:t>
      </w:r>
    </w:p>
    <w:tbl>
      <w:tblPr>
        <w:tblStyle w:val="TableGrid"/>
        <w:tblW w:w="9300" w:type="dxa"/>
        <w:tblInd w:w="-113" w:type="dxa"/>
        <w:tblCellMar>
          <w:top w:w="74" w:type="dxa"/>
          <w:right w:w="115" w:type="dxa"/>
        </w:tblCellMar>
        <w:tblLook w:val="04A0" w:firstRow="1" w:lastRow="0" w:firstColumn="1" w:lastColumn="0" w:noHBand="0" w:noVBand="1"/>
      </w:tblPr>
      <w:tblGrid>
        <w:gridCol w:w="821"/>
        <w:gridCol w:w="8479"/>
      </w:tblGrid>
      <w:tr w:rsidR="00C26380">
        <w:trPr>
          <w:trHeight w:val="391"/>
        </w:trPr>
        <w:tc>
          <w:tcPr>
            <w:tcW w:w="821" w:type="dxa"/>
            <w:tcBorders>
              <w:top w:val="single" w:sz="4" w:space="0" w:color="000000"/>
              <w:left w:val="single" w:sz="4" w:space="0" w:color="000000"/>
              <w:bottom w:val="single" w:sz="4" w:space="0" w:color="000000"/>
              <w:right w:val="nil"/>
            </w:tcBorders>
          </w:tcPr>
          <w:p w:rsidR="00C26380" w:rsidRDefault="006D07DC">
            <w:pPr>
              <w:ind w:left="113"/>
            </w:pPr>
            <w:r>
              <w:rPr>
                <w:b/>
                <w:sz w:val="28"/>
              </w:rPr>
              <w:t>17</w:t>
            </w:r>
            <w:r w:rsidR="00455A63">
              <w:rPr>
                <w:b/>
                <w:sz w:val="28"/>
              </w:rPr>
              <w:t>.</w:t>
            </w:r>
            <w:r w:rsidR="00455A63">
              <w:rPr>
                <w:rFonts w:ascii="Arial" w:eastAsia="Arial" w:hAnsi="Arial" w:cs="Arial"/>
                <w:b/>
                <w:sz w:val="28"/>
              </w:rPr>
              <w:t xml:space="preserve"> </w:t>
            </w:r>
          </w:p>
        </w:tc>
        <w:tc>
          <w:tcPr>
            <w:tcW w:w="8478" w:type="dxa"/>
            <w:tcBorders>
              <w:top w:val="single" w:sz="4" w:space="0" w:color="000000"/>
              <w:left w:val="nil"/>
              <w:bottom w:val="single" w:sz="4" w:space="0" w:color="000000"/>
              <w:right w:val="single" w:sz="4" w:space="0" w:color="000000"/>
            </w:tcBorders>
          </w:tcPr>
          <w:p w:rsidR="00C26380" w:rsidRDefault="00455A63">
            <w:r>
              <w:rPr>
                <w:b/>
                <w:sz w:val="28"/>
              </w:rPr>
              <w:t xml:space="preserve">Další podmínky a práva zadavatele </w:t>
            </w:r>
          </w:p>
        </w:tc>
      </w:tr>
    </w:tbl>
    <w:p w:rsidR="00494DF0" w:rsidRDefault="00494DF0">
      <w:pPr>
        <w:spacing w:after="263" w:line="248" w:lineRule="auto"/>
        <w:ind w:left="-5" w:hanging="10"/>
        <w:jc w:val="both"/>
        <w:rPr>
          <w:b/>
        </w:rPr>
      </w:pPr>
    </w:p>
    <w:p w:rsidR="00C26380" w:rsidRDefault="006D07DC">
      <w:pPr>
        <w:spacing w:after="263" w:line="248" w:lineRule="auto"/>
        <w:ind w:left="-5" w:hanging="10"/>
        <w:jc w:val="both"/>
      </w:pPr>
      <w:r>
        <w:rPr>
          <w:b/>
        </w:rPr>
        <w:t>17</w:t>
      </w:r>
      <w:r w:rsidR="00494DF0">
        <w:rPr>
          <w:b/>
        </w:rPr>
        <w:t>.</w:t>
      </w:r>
      <w:r>
        <w:rPr>
          <w:b/>
        </w:rPr>
        <w:t>1</w:t>
      </w:r>
      <w:r w:rsidR="00455A63">
        <w:rPr>
          <w:rFonts w:ascii="Arial" w:eastAsia="Arial" w:hAnsi="Arial" w:cs="Arial"/>
          <w:b/>
        </w:rPr>
        <w:t xml:space="preserve"> </w:t>
      </w:r>
      <w:r w:rsidR="00455A63">
        <w:t>Zadavatel si vyhrazuje změnu závazku ve smyslu § 100 odst. 3 zákona, a to právo na poskytnutí nových služeb vybraným dodavatelem (dále jen „</w:t>
      </w:r>
      <w:r w:rsidR="00455A63">
        <w:rPr>
          <w:b/>
          <w:i/>
        </w:rPr>
        <w:t>vyhrazené plnění</w:t>
      </w:r>
      <w:r>
        <w:t>“).</w:t>
      </w:r>
      <w:r w:rsidR="00455A63">
        <w:t xml:space="preserve"> </w:t>
      </w:r>
    </w:p>
    <w:p w:rsidR="00C26380" w:rsidRDefault="006D07DC">
      <w:pPr>
        <w:tabs>
          <w:tab w:val="center" w:pos="4077"/>
        </w:tabs>
        <w:spacing w:after="263" w:line="248" w:lineRule="auto"/>
        <w:ind w:left="-15"/>
      </w:pPr>
      <w:r>
        <w:rPr>
          <w:b/>
        </w:rPr>
        <w:t>17</w:t>
      </w:r>
      <w:r w:rsidR="00494DF0">
        <w:rPr>
          <w:b/>
        </w:rPr>
        <w:t>.</w:t>
      </w:r>
      <w:r>
        <w:rPr>
          <w:b/>
        </w:rPr>
        <w:t>2</w:t>
      </w:r>
      <w:r w:rsidR="00EE2B95">
        <w:rPr>
          <w:rFonts w:ascii="Arial" w:eastAsia="Arial" w:hAnsi="Arial" w:cs="Arial"/>
          <w:b/>
        </w:rPr>
        <w:t xml:space="preserve"> </w:t>
      </w:r>
      <w:r w:rsidR="00EE2B95">
        <w:t>Z</w:t>
      </w:r>
      <w:r w:rsidR="00455A63">
        <w:t xml:space="preserve">adavatel si vyhrazuje právo zrušit zadávací řízení v souladu s § 127 zákona. </w:t>
      </w:r>
    </w:p>
    <w:p w:rsidR="00C26380" w:rsidRDefault="006D07DC">
      <w:pPr>
        <w:spacing w:after="263" w:line="248" w:lineRule="auto"/>
        <w:ind w:left="-5" w:hanging="10"/>
        <w:jc w:val="both"/>
      </w:pPr>
      <w:r>
        <w:rPr>
          <w:b/>
        </w:rPr>
        <w:t>17</w:t>
      </w:r>
      <w:r w:rsidR="003452EF">
        <w:rPr>
          <w:b/>
        </w:rPr>
        <w:t>.</w:t>
      </w:r>
      <w:r>
        <w:rPr>
          <w:b/>
        </w:rPr>
        <w:t>3</w:t>
      </w:r>
      <w:r w:rsidR="00455A63">
        <w:rPr>
          <w:rFonts w:ascii="Arial" w:eastAsia="Arial" w:hAnsi="Arial" w:cs="Arial"/>
          <w:b/>
        </w:rPr>
        <w:t xml:space="preserve"> </w:t>
      </w:r>
      <w:r w:rsidR="00455A63">
        <w:t xml:space="preserve">Zadavatel si vyhrazuje právo ověřit informace obsažené v nabídce účastníka zadávacího řízení i u třetích osob a účastník zadávacího řízení je povinen mu v tomto ohledu poskytnout veškerou potřebnou součinnost. </w:t>
      </w:r>
    </w:p>
    <w:p w:rsidR="00A71A8F" w:rsidRDefault="00494DF0" w:rsidP="00A71A8F">
      <w:pPr>
        <w:jc w:val="both"/>
      </w:pPr>
      <w:r>
        <w:rPr>
          <w:b/>
        </w:rPr>
        <w:t>1</w:t>
      </w:r>
      <w:r w:rsidR="006D07DC">
        <w:rPr>
          <w:b/>
        </w:rPr>
        <w:t>7</w:t>
      </w:r>
      <w:r>
        <w:rPr>
          <w:b/>
        </w:rPr>
        <w:t>.</w:t>
      </w:r>
      <w:r w:rsidR="006D07DC">
        <w:rPr>
          <w:b/>
        </w:rPr>
        <w:t>4</w:t>
      </w:r>
      <w:r w:rsidR="00A71A8F">
        <w:t xml:space="preserve"> </w:t>
      </w:r>
      <w:r w:rsidR="00A71A8F" w:rsidRPr="00A71A8F">
        <w:t>Vybraný dodavatel je povinen v souladu s § 104 zákona p</w:t>
      </w:r>
      <w:r w:rsidR="00A71A8F">
        <w:t xml:space="preserve">řed uzavřením smlouvy předložit </w:t>
      </w:r>
      <w:r w:rsidR="00A71A8F" w:rsidRPr="00A71A8F">
        <w:t>zadavateli podle § 86 odst. 3 zákona originály nebo ověřené kopie d</w:t>
      </w:r>
      <w:r w:rsidR="00A71A8F">
        <w:t xml:space="preserve">okladů o kvalifikaci, pokud již </w:t>
      </w:r>
      <w:r w:rsidR="00A71A8F" w:rsidRPr="00A71A8F">
        <w:t>nebyly v zadávacím řízení předloženy. V případě, že nelze zji</w:t>
      </w:r>
      <w:r w:rsidR="00A71A8F">
        <w:t xml:space="preserve">stit údaje o skutečném majiteli </w:t>
      </w:r>
      <w:r w:rsidR="00A71A8F" w:rsidRPr="00A71A8F">
        <w:t xml:space="preserve">vybraného dodavatele podle § 122 odst. 4 zákona, je vybraný dodavatel povinen na základě písemné výzvy zadavatele předložit před uzavřením smlouvy: </w:t>
      </w:r>
    </w:p>
    <w:p w:rsidR="00A71A8F" w:rsidRDefault="00A71A8F" w:rsidP="00A71A8F">
      <w:pPr>
        <w:pStyle w:val="Odstavecseseznamem"/>
        <w:numPr>
          <w:ilvl w:val="0"/>
          <w:numId w:val="47"/>
        </w:numPr>
      </w:pPr>
      <w:r w:rsidRPr="00A71A8F">
        <w:t xml:space="preserve">výpis z evidence obdobné evidenci údajů o skutečných majitelích, nebo </w:t>
      </w:r>
    </w:p>
    <w:p w:rsidR="00A71A8F" w:rsidRDefault="00A71A8F" w:rsidP="00A71A8F">
      <w:pPr>
        <w:pStyle w:val="Odstavecseseznamem"/>
        <w:numPr>
          <w:ilvl w:val="0"/>
          <w:numId w:val="47"/>
        </w:numPr>
        <w:spacing w:after="0"/>
      </w:pPr>
      <w:r w:rsidRPr="00A71A8F">
        <w:t xml:space="preserve">identifikační údaje všech osob, které jsou jeho skutečným majitelem a doklady, z nichž vyplývá vztah těchto osob k dodavateli; těmito doklady jsou zejména: </w:t>
      </w:r>
    </w:p>
    <w:p w:rsidR="00A71A8F" w:rsidRDefault="00A71A8F" w:rsidP="00A71A8F">
      <w:pPr>
        <w:spacing w:after="0"/>
        <w:ind w:left="708" w:firstLine="708"/>
      </w:pPr>
      <w:r w:rsidRPr="00A71A8F">
        <w:t xml:space="preserve">a. výpis z obchodního rejstříku nebo jiné obdobné evidence, </w:t>
      </w:r>
    </w:p>
    <w:p w:rsidR="00A71A8F" w:rsidRDefault="00A71A8F" w:rsidP="00A71A8F">
      <w:pPr>
        <w:spacing w:after="0"/>
        <w:ind w:left="708" w:firstLine="708"/>
      </w:pPr>
      <w:r w:rsidRPr="00A71A8F">
        <w:t xml:space="preserve">b. seznam akcionářů, </w:t>
      </w:r>
    </w:p>
    <w:p w:rsidR="00A71A8F" w:rsidRDefault="00A71A8F" w:rsidP="00A71A8F">
      <w:pPr>
        <w:spacing w:after="0"/>
        <w:ind w:left="708" w:firstLine="708"/>
      </w:pPr>
      <w:r w:rsidRPr="00A71A8F">
        <w:t xml:space="preserve">c. rozhodnutí statutárního orgánu o vyplacení podílu na zisku, </w:t>
      </w:r>
    </w:p>
    <w:p w:rsidR="00A71A8F" w:rsidRDefault="00A71A8F" w:rsidP="00A71A8F">
      <w:pPr>
        <w:ind w:left="708" w:firstLine="708"/>
      </w:pPr>
      <w:r w:rsidRPr="00A71A8F">
        <w:t xml:space="preserve">d. společenská smlouva, zakladatelská listina nebo stanovy. </w:t>
      </w:r>
    </w:p>
    <w:p w:rsidR="00A71A8F" w:rsidRDefault="00A71A8F" w:rsidP="00A71A8F">
      <w:r w:rsidRPr="00A71A8F">
        <w:t>Nepředložení dokladů a informací dle výše uvedených bodů</w:t>
      </w:r>
      <w:r>
        <w:t xml:space="preserve"> </w:t>
      </w:r>
      <w:r w:rsidRPr="00A71A8F">
        <w:t xml:space="preserve">je důvodem k vyloučení vybraného dodavatele z další účasti v zadávacím řízení. </w:t>
      </w:r>
    </w:p>
    <w:p w:rsidR="00A71A8F" w:rsidRDefault="00A71A8F" w:rsidP="00A71A8F">
      <w:r w:rsidRPr="00A71A8F">
        <w:t xml:space="preserve">Zadavatel ve smyslu § 48 odst. 9 zákona vyloučí vybraného dodavatele z účasti v zadávacím řízení, pokud zjistí, že jsou naplněny důvody pro vyloučení podle § 48 odst. 7 zákona, to znamená, že vybraný dodavatel, který je akciovou společností nebo má právní formu obdobnou akciové společnosti nemá vydány výlučně zaknihované akcie. </w:t>
      </w:r>
    </w:p>
    <w:p w:rsidR="005C243E" w:rsidRDefault="005C243E" w:rsidP="00EE2B95">
      <w:pPr>
        <w:spacing w:after="206" w:line="249" w:lineRule="auto"/>
        <w:ind w:left="2126"/>
        <w:jc w:val="both"/>
      </w:pPr>
    </w:p>
    <w:tbl>
      <w:tblPr>
        <w:tblStyle w:val="TableGrid"/>
        <w:tblW w:w="9300" w:type="dxa"/>
        <w:tblInd w:w="-113" w:type="dxa"/>
        <w:tblCellMar>
          <w:top w:w="74" w:type="dxa"/>
          <w:right w:w="115" w:type="dxa"/>
        </w:tblCellMar>
        <w:tblLook w:val="04A0" w:firstRow="1" w:lastRow="0" w:firstColumn="1" w:lastColumn="0" w:noHBand="0" w:noVBand="1"/>
      </w:tblPr>
      <w:tblGrid>
        <w:gridCol w:w="821"/>
        <w:gridCol w:w="8479"/>
      </w:tblGrid>
      <w:tr w:rsidR="00C26380">
        <w:trPr>
          <w:trHeight w:val="391"/>
        </w:trPr>
        <w:tc>
          <w:tcPr>
            <w:tcW w:w="821" w:type="dxa"/>
            <w:tcBorders>
              <w:top w:val="single" w:sz="4" w:space="0" w:color="000000"/>
              <w:left w:val="single" w:sz="4" w:space="0" w:color="000000"/>
              <w:bottom w:val="single" w:sz="4" w:space="0" w:color="000000"/>
              <w:right w:val="nil"/>
            </w:tcBorders>
          </w:tcPr>
          <w:p w:rsidR="00C26380" w:rsidRDefault="006D07DC">
            <w:pPr>
              <w:ind w:left="113"/>
            </w:pPr>
            <w:r>
              <w:rPr>
                <w:b/>
                <w:sz w:val="28"/>
              </w:rPr>
              <w:lastRenderedPageBreak/>
              <w:t>18</w:t>
            </w:r>
            <w:r w:rsidR="00455A63">
              <w:rPr>
                <w:b/>
                <w:sz w:val="28"/>
              </w:rPr>
              <w:t>.</w:t>
            </w:r>
            <w:r w:rsidR="00455A63">
              <w:rPr>
                <w:rFonts w:ascii="Arial" w:eastAsia="Arial" w:hAnsi="Arial" w:cs="Arial"/>
                <w:b/>
                <w:sz w:val="28"/>
              </w:rPr>
              <w:t xml:space="preserve"> </w:t>
            </w:r>
          </w:p>
        </w:tc>
        <w:tc>
          <w:tcPr>
            <w:tcW w:w="8478" w:type="dxa"/>
            <w:tcBorders>
              <w:top w:val="single" w:sz="4" w:space="0" w:color="000000"/>
              <w:left w:val="nil"/>
              <w:bottom w:val="single" w:sz="4" w:space="0" w:color="000000"/>
              <w:right w:val="single" w:sz="4" w:space="0" w:color="000000"/>
            </w:tcBorders>
          </w:tcPr>
          <w:p w:rsidR="00C26380" w:rsidRDefault="00455A63">
            <w:r>
              <w:rPr>
                <w:b/>
                <w:sz w:val="28"/>
              </w:rPr>
              <w:t xml:space="preserve">Seznam příloh </w:t>
            </w:r>
          </w:p>
        </w:tc>
      </w:tr>
    </w:tbl>
    <w:p w:rsidR="00E74613" w:rsidRDefault="00E74613">
      <w:pPr>
        <w:tabs>
          <w:tab w:val="center" w:pos="3584"/>
        </w:tabs>
        <w:spacing w:after="10" w:line="248" w:lineRule="auto"/>
        <w:ind w:left="-15"/>
        <w:rPr>
          <w:b/>
        </w:rPr>
      </w:pPr>
    </w:p>
    <w:p w:rsidR="00C26380" w:rsidRPr="006D07DC" w:rsidRDefault="006D07DC">
      <w:pPr>
        <w:tabs>
          <w:tab w:val="center" w:pos="3584"/>
        </w:tabs>
        <w:spacing w:after="10" w:line="248" w:lineRule="auto"/>
        <w:ind w:left="-15"/>
        <w:rPr>
          <w:b/>
        </w:rPr>
      </w:pPr>
      <w:r>
        <w:rPr>
          <w:b/>
        </w:rPr>
        <w:t>18</w:t>
      </w:r>
      <w:r w:rsidR="00455A63">
        <w:rPr>
          <w:b/>
        </w:rPr>
        <w:t>.1</w:t>
      </w:r>
      <w:r w:rsidR="00455A63">
        <w:rPr>
          <w:rFonts w:ascii="Arial" w:eastAsia="Arial" w:hAnsi="Arial" w:cs="Arial"/>
          <w:b/>
        </w:rPr>
        <w:t xml:space="preserve"> </w:t>
      </w:r>
      <w:r w:rsidR="00455A63">
        <w:rPr>
          <w:rFonts w:ascii="Arial" w:eastAsia="Arial" w:hAnsi="Arial" w:cs="Arial"/>
          <w:b/>
        </w:rPr>
        <w:tab/>
      </w:r>
      <w:r>
        <w:t xml:space="preserve">Přílohou pro podání žádosti o účast je pouze </w:t>
      </w:r>
      <w:r w:rsidRPr="006D07DC">
        <w:rPr>
          <w:b/>
        </w:rPr>
        <w:t xml:space="preserve">příloha </w:t>
      </w:r>
      <w:r w:rsidR="005544F4">
        <w:rPr>
          <w:b/>
        </w:rPr>
        <w:t>A</w:t>
      </w:r>
      <w:r w:rsidRPr="006D07DC">
        <w:rPr>
          <w:b/>
        </w:rPr>
        <w:t xml:space="preserve"> - předloha čestného prohlášení</w:t>
      </w:r>
    </w:p>
    <w:tbl>
      <w:tblPr>
        <w:tblStyle w:val="TableGrid"/>
        <w:tblW w:w="9123" w:type="dxa"/>
        <w:tblInd w:w="0" w:type="dxa"/>
        <w:tblCellMar>
          <w:top w:w="32" w:type="dxa"/>
        </w:tblCellMar>
        <w:tblLook w:val="04A0" w:firstRow="1" w:lastRow="0" w:firstColumn="1" w:lastColumn="0" w:noHBand="0" w:noVBand="1"/>
      </w:tblPr>
      <w:tblGrid>
        <w:gridCol w:w="1416"/>
        <w:gridCol w:w="7707"/>
      </w:tblGrid>
      <w:tr w:rsidR="00E74613" w:rsidTr="005A2540">
        <w:trPr>
          <w:trHeight w:val="324"/>
        </w:trPr>
        <w:tc>
          <w:tcPr>
            <w:tcW w:w="1416" w:type="dxa"/>
            <w:tcBorders>
              <w:top w:val="nil"/>
              <w:left w:val="nil"/>
              <w:bottom w:val="nil"/>
              <w:right w:val="nil"/>
            </w:tcBorders>
          </w:tcPr>
          <w:p w:rsidR="00E74613" w:rsidRDefault="00E74613" w:rsidP="005A2540">
            <w:pPr>
              <w:rPr>
                <w:b/>
              </w:rPr>
            </w:pPr>
          </w:p>
        </w:tc>
        <w:tc>
          <w:tcPr>
            <w:tcW w:w="7707" w:type="dxa"/>
            <w:tcBorders>
              <w:top w:val="nil"/>
              <w:left w:val="nil"/>
              <w:bottom w:val="nil"/>
              <w:right w:val="nil"/>
            </w:tcBorders>
          </w:tcPr>
          <w:p w:rsidR="00E74613" w:rsidRDefault="00E74613" w:rsidP="00E74613"/>
        </w:tc>
      </w:tr>
    </w:tbl>
    <w:p w:rsidR="00E74613" w:rsidRDefault="006D07DC" w:rsidP="005A2540">
      <w:pPr>
        <w:tabs>
          <w:tab w:val="center" w:pos="3584"/>
        </w:tabs>
        <w:spacing w:after="10" w:line="248" w:lineRule="auto"/>
        <w:ind w:left="-15"/>
      </w:pPr>
      <w:r>
        <w:rPr>
          <w:b/>
        </w:rPr>
        <w:t>18</w:t>
      </w:r>
      <w:r w:rsidR="00E74613">
        <w:rPr>
          <w:b/>
        </w:rPr>
        <w:t>.2</w:t>
      </w:r>
      <w:r w:rsidR="00E74613">
        <w:rPr>
          <w:rFonts w:ascii="Arial" w:eastAsia="Arial" w:hAnsi="Arial" w:cs="Arial"/>
          <w:b/>
        </w:rPr>
        <w:t xml:space="preserve"> </w:t>
      </w:r>
      <w:r w:rsidR="00E74613">
        <w:rPr>
          <w:rFonts w:ascii="Arial" w:eastAsia="Arial" w:hAnsi="Arial" w:cs="Arial"/>
          <w:b/>
        </w:rPr>
        <w:tab/>
      </w:r>
      <w:r w:rsidR="00E74613">
        <w:t xml:space="preserve">Součástí </w:t>
      </w:r>
      <w:r>
        <w:t xml:space="preserve">pro předložení </w:t>
      </w:r>
      <w:r w:rsidR="00CF1847">
        <w:t>již samot</w:t>
      </w:r>
      <w:r>
        <w:t>né nabídky</w:t>
      </w:r>
      <w:r w:rsidR="00CF1847">
        <w:t xml:space="preserve"> (nabídek)</w:t>
      </w:r>
      <w:r>
        <w:t xml:space="preserve"> v rámci zadávacího řízení budou tyto přílohy a dokumenty</w:t>
      </w:r>
      <w:r w:rsidR="00E74613">
        <w:t xml:space="preserve">: </w:t>
      </w:r>
    </w:p>
    <w:tbl>
      <w:tblPr>
        <w:tblStyle w:val="TableGrid"/>
        <w:tblW w:w="9123" w:type="dxa"/>
        <w:tblInd w:w="0" w:type="dxa"/>
        <w:tblCellMar>
          <w:top w:w="32" w:type="dxa"/>
        </w:tblCellMar>
        <w:tblLook w:val="04A0" w:firstRow="1" w:lastRow="0" w:firstColumn="1" w:lastColumn="0" w:noHBand="0" w:noVBand="1"/>
      </w:tblPr>
      <w:tblGrid>
        <w:gridCol w:w="1416"/>
        <w:gridCol w:w="7707"/>
      </w:tblGrid>
      <w:tr w:rsidR="00C26380">
        <w:trPr>
          <w:trHeight w:val="324"/>
        </w:trPr>
        <w:tc>
          <w:tcPr>
            <w:tcW w:w="1416" w:type="dxa"/>
            <w:tcBorders>
              <w:top w:val="nil"/>
              <w:left w:val="nil"/>
              <w:bottom w:val="nil"/>
              <w:right w:val="nil"/>
            </w:tcBorders>
          </w:tcPr>
          <w:p w:rsidR="00C26380" w:rsidRDefault="00455A63">
            <w:pPr>
              <w:rPr>
                <w:rFonts w:ascii="Arial" w:eastAsia="Arial" w:hAnsi="Arial" w:cs="Arial"/>
                <w:b/>
              </w:rPr>
            </w:pPr>
            <w:r>
              <w:rPr>
                <w:b/>
              </w:rPr>
              <w:t>Příloha č. 1</w:t>
            </w:r>
            <w:r>
              <w:rPr>
                <w:rFonts w:ascii="Arial" w:eastAsia="Arial" w:hAnsi="Arial" w:cs="Arial"/>
                <w:b/>
              </w:rPr>
              <w:t xml:space="preserve"> </w:t>
            </w:r>
          </w:p>
          <w:p w:rsidR="009D409E" w:rsidRDefault="009D409E">
            <w:pPr>
              <w:rPr>
                <w:rFonts w:ascii="Arial" w:eastAsia="Arial" w:hAnsi="Arial" w:cs="Arial"/>
                <w:b/>
              </w:rPr>
            </w:pPr>
          </w:p>
          <w:p w:rsidR="009D409E" w:rsidRDefault="009D409E">
            <w:pPr>
              <w:rPr>
                <w:rFonts w:ascii="Arial" w:eastAsia="Arial" w:hAnsi="Arial" w:cs="Arial"/>
                <w:b/>
              </w:rPr>
            </w:pPr>
          </w:p>
          <w:p w:rsidR="009D409E" w:rsidRDefault="009D409E">
            <w:pPr>
              <w:rPr>
                <w:b/>
              </w:rPr>
            </w:pPr>
            <w:r w:rsidRPr="009D409E">
              <w:rPr>
                <w:b/>
              </w:rPr>
              <w:t>Příloha č. 1.1.</w:t>
            </w:r>
          </w:p>
          <w:p w:rsidR="009D409E" w:rsidRDefault="009D409E">
            <w:pPr>
              <w:rPr>
                <w:b/>
              </w:rPr>
            </w:pPr>
            <w:r>
              <w:rPr>
                <w:b/>
              </w:rPr>
              <w:t>Příloha č. 1.2.</w:t>
            </w:r>
          </w:p>
          <w:p w:rsidR="009D409E" w:rsidRDefault="009D409E">
            <w:pPr>
              <w:rPr>
                <w:b/>
              </w:rPr>
            </w:pPr>
            <w:r>
              <w:rPr>
                <w:b/>
              </w:rPr>
              <w:t>Příloha č. 1.3.</w:t>
            </w:r>
          </w:p>
          <w:p w:rsidR="009D409E" w:rsidRDefault="009D409E">
            <w:pPr>
              <w:rPr>
                <w:b/>
              </w:rPr>
            </w:pPr>
            <w:r>
              <w:rPr>
                <w:b/>
              </w:rPr>
              <w:t>Příloha č. 1.4.</w:t>
            </w:r>
          </w:p>
          <w:p w:rsidR="009D409E" w:rsidRDefault="009D409E">
            <w:r>
              <w:rPr>
                <w:b/>
              </w:rPr>
              <w:t>Příloha č. 1.5.</w:t>
            </w:r>
          </w:p>
        </w:tc>
        <w:tc>
          <w:tcPr>
            <w:tcW w:w="7707" w:type="dxa"/>
            <w:tcBorders>
              <w:top w:val="nil"/>
              <w:left w:val="nil"/>
              <w:bottom w:val="nil"/>
              <w:right w:val="nil"/>
            </w:tcBorders>
          </w:tcPr>
          <w:p w:rsidR="00C26380" w:rsidRDefault="00DE7B08" w:rsidP="00DE7B08">
            <w:pPr>
              <w:ind w:left="2"/>
            </w:pPr>
            <w:r>
              <w:t>Obchodní podmínky – Pojištění majetku, obecné odpovědnosti za škodu a vozidel Statutárního města Ostravy a jeho příspěvkových organizací, městských obvodů a jejich příspěvkových organizací</w:t>
            </w:r>
          </w:p>
          <w:p w:rsidR="009D409E" w:rsidRDefault="009D409E" w:rsidP="00DE7B08">
            <w:pPr>
              <w:ind w:left="2"/>
            </w:pPr>
            <w:r>
              <w:t>Rozdělení pojistných částek</w:t>
            </w:r>
          </w:p>
          <w:p w:rsidR="009D409E" w:rsidRDefault="009D409E" w:rsidP="00DE7B08">
            <w:pPr>
              <w:ind w:left="2"/>
            </w:pPr>
            <w:r>
              <w:t>Limity plnění</w:t>
            </w:r>
          </w:p>
          <w:p w:rsidR="009D409E" w:rsidRDefault="009D409E" w:rsidP="00DE7B08">
            <w:pPr>
              <w:ind w:left="2"/>
            </w:pPr>
            <w:r>
              <w:t>Seznam příspěvkových organizací</w:t>
            </w:r>
          </w:p>
          <w:p w:rsidR="009D409E" w:rsidRDefault="009D409E" w:rsidP="00DE7B08">
            <w:pPr>
              <w:ind w:left="2"/>
            </w:pPr>
            <w:r>
              <w:t>Seznam vozidel</w:t>
            </w:r>
          </w:p>
          <w:p w:rsidR="009D409E" w:rsidRDefault="009D409E" w:rsidP="00DE7B08">
            <w:pPr>
              <w:ind w:left="2"/>
            </w:pPr>
            <w:r>
              <w:t>Způsob zabezpečení uměleckých předmětů v Divadle Antonína Dvořáka a Jiřího Myrona</w:t>
            </w:r>
          </w:p>
        </w:tc>
      </w:tr>
      <w:tr w:rsidR="00C26380">
        <w:trPr>
          <w:trHeight w:val="389"/>
        </w:trPr>
        <w:tc>
          <w:tcPr>
            <w:tcW w:w="1416" w:type="dxa"/>
            <w:tcBorders>
              <w:top w:val="nil"/>
              <w:left w:val="nil"/>
              <w:bottom w:val="nil"/>
              <w:right w:val="nil"/>
            </w:tcBorders>
          </w:tcPr>
          <w:p w:rsidR="00C26380" w:rsidRDefault="00455A63">
            <w:pPr>
              <w:rPr>
                <w:rFonts w:ascii="Arial" w:eastAsia="Arial" w:hAnsi="Arial" w:cs="Arial"/>
                <w:b/>
              </w:rPr>
            </w:pPr>
            <w:r>
              <w:rPr>
                <w:b/>
              </w:rPr>
              <w:t>Příloha č. 2</w:t>
            </w:r>
            <w:r>
              <w:rPr>
                <w:rFonts w:ascii="Arial" w:eastAsia="Arial" w:hAnsi="Arial" w:cs="Arial"/>
                <w:b/>
              </w:rPr>
              <w:t xml:space="preserve"> </w:t>
            </w:r>
          </w:p>
          <w:p w:rsidR="009D409E" w:rsidRDefault="009D409E">
            <w:pPr>
              <w:rPr>
                <w:rFonts w:ascii="Arial" w:eastAsia="Arial" w:hAnsi="Arial" w:cs="Arial"/>
                <w:b/>
              </w:rPr>
            </w:pPr>
          </w:p>
          <w:p w:rsidR="009D409E" w:rsidRDefault="009D409E">
            <w:pPr>
              <w:rPr>
                <w:b/>
              </w:rPr>
            </w:pPr>
            <w:r w:rsidRPr="009D409E">
              <w:rPr>
                <w:b/>
              </w:rPr>
              <w:t>Příloha č. 2.1.</w:t>
            </w:r>
          </w:p>
          <w:p w:rsidR="009D409E" w:rsidRDefault="009D409E">
            <w:r>
              <w:rPr>
                <w:b/>
              </w:rPr>
              <w:t>Příloha č. 2.2.</w:t>
            </w:r>
          </w:p>
        </w:tc>
        <w:tc>
          <w:tcPr>
            <w:tcW w:w="7707" w:type="dxa"/>
            <w:tcBorders>
              <w:top w:val="nil"/>
              <w:left w:val="nil"/>
              <w:bottom w:val="nil"/>
              <w:right w:val="nil"/>
            </w:tcBorders>
          </w:tcPr>
          <w:p w:rsidR="00C26380" w:rsidRDefault="00DE7B08">
            <w:pPr>
              <w:ind w:left="2"/>
            </w:pPr>
            <w:r>
              <w:t>Obchodní podmínky – Pojištění majetku, obecné odpovědnosti za škodu a vozidel vyjmenovaných obchodních organizací</w:t>
            </w:r>
          </w:p>
          <w:p w:rsidR="009D409E" w:rsidRDefault="009D409E">
            <w:pPr>
              <w:ind w:left="2"/>
            </w:pPr>
            <w:r>
              <w:t>Rozdělení pojistných částek</w:t>
            </w:r>
          </w:p>
          <w:p w:rsidR="009D409E" w:rsidRDefault="009D409E">
            <w:pPr>
              <w:ind w:left="2"/>
            </w:pPr>
            <w:r>
              <w:t>Seznam vozidel</w:t>
            </w:r>
          </w:p>
        </w:tc>
      </w:tr>
      <w:tr w:rsidR="00C26380" w:rsidTr="004B1B82">
        <w:trPr>
          <w:trHeight w:val="400"/>
        </w:trPr>
        <w:tc>
          <w:tcPr>
            <w:tcW w:w="1416" w:type="dxa"/>
            <w:tcBorders>
              <w:top w:val="nil"/>
              <w:left w:val="nil"/>
              <w:bottom w:val="nil"/>
              <w:right w:val="nil"/>
            </w:tcBorders>
          </w:tcPr>
          <w:p w:rsidR="00C26380" w:rsidRDefault="00455A63">
            <w:pPr>
              <w:rPr>
                <w:rFonts w:ascii="Arial" w:eastAsia="Arial" w:hAnsi="Arial" w:cs="Arial"/>
                <w:b/>
              </w:rPr>
            </w:pPr>
            <w:r>
              <w:rPr>
                <w:b/>
              </w:rPr>
              <w:t>Příloha č. 3</w:t>
            </w:r>
            <w:r>
              <w:rPr>
                <w:rFonts w:ascii="Arial" w:eastAsia="Arial" w:hAnsi="Arial" w:cs="Arial"/>
                <w:b/>
              </w:rPr>
              <w:t xml:space="preserve"> </w:t>
            </w:r>
          </w:p>
          <w:p w:rsidR="009D409E" w:rsidRDefault="009D409E">
            <w:pPr>
              <w:rPr>
                <w:rFonts w:ascii="Arial" w:eastAsia="Arial" w:hAnsi="Arial" w:cs="Arial"/>
                <w:b/>
              </w:rPr>
            </w:pPr>
          </w:p>
          <w:p w:rsidR="009D409E" w:rsidRDefault="009D409E">
            <w:r w:rsidRPr="009D409E">
              <w:rPr>
                <w:b/>
              </w:rPr>
              <w:t>Příloha č. 3.1.</w:t>
            </w:r>
          </w:p>
        </w:tc>
        <w:tc>
          <w:tcPr>
            <w:tcW w:w="7707" w:type="dxa"/>
            <w:tcBorders>
              <w:top w:val="nil"/>
              <w:left w:val="nil"/>
              <w:bottom w:val="nil"/>
              <w:right w:val="nil"/>
            </w:tcBorders>
          </w:tcPr>
          <w:p w:rsidR="00C26380" w:rsidRDefault="00DE7B08">
            <w:pPr>
              <w:ind w:left="2" w:right="47"/>
              <w:jc w:val="both"/>
            </w:pPr>
            <w:r>
              <w:t>Obchodní podmínky – Pojištění majetku, obecné odpovědnosti za škodu a vozidel Dopravního podniku Ostrava a.s.</w:t>
            </w:r>
          </w:p>
          <w:p w:rsidR="009D409E" w:rsidRDefault="009D409E">
            <w:pPr>
              <w:ind w:left="2" w:right="47"/>
              <w:jc w:val="both"/>
            </w:pPr>
            <w:r>
              <w:t>Seznam vozidel</w:t>
            </w:r>
          </w:p>
        </w:tc>
      </w:tr>
      <w:tr w:rsidR="00C26380">
        <w:trPr>
          <w:trHeight w:val="389"/>
        </w:trPr>
        <w:tc>
          <w:tcPr>
            <w:tcW w:w="1416" w:type="dxa"/>
            <w:tcBorders>
              <w:top w:val="nil"/>
              <w:left w:val="nil"/>
              <w:bottom w:val="nil"/>
              <w:right w:val="nil"/>
            </w:tcBorders>
          </w:tcPr>
          <w:p w:rsidR="00C26380" w:rsidRDefault="00455A63">
            <w:pPr>
              <w:rPr>
                <w:rFonts w:ascii="Arial" w:eastAsia="Arial" w:hAnsi="Arial" w:cs="Arial"/>
                <w:b/>
              </w:rPr>
            </w:pPr>
            <w:r>
              <w:rPr>
                <w:b/>
              </w:rPr>
              <w:t>Příloha č. 4</w:t>
            </w:r>
            <w:r>
              <w:rPr>
                <w:rFonts w:ascii="Arial" w:eastAsia="Arial" w:hAnsi="Arial" w:cs="Arial"/>
                <w:b/>
              </w:rPr>
              <w:t xml:space="preserve"> </w:t>
            </w:r>
          </w:p>
          <w:p w:rsidR="009D409E" w:rsidRDefault="009D409E">
            <w:pPr>
              <w:rPr>
                <w:rFonts w:ascii="Arial" w:eastAsia="Arial" w:hAnsi="Arial" w:cs="Arial"/>
                <w:b/>
              </w:rPr>
            </w:pPr>
          </w:p>
          <w:p w:rsidR="009D409E" w:rsidRPr="009D409E" w:rsidRDefault="009D409E">
            <w:pPr>
              <w:rPr>
                <w:rFonts w:ascii="Arial" w:eastAsia="Arial" w:hAnsi="Arial" w:cs="Arial"/>
                <w:b/>
              </w:rPr>
            </w:pPr>
            <w:r>
              <w:rPr>
                <w:b/>
              </w:rPr>
              <w:t>Příloha č. 4.1.</w:t>
            </w:r>
            <w:r>
              <w:rPr>
                <w:rFonts w:ascii="Arial" w:eastAsia="Arial" w:hAnsi="Arial" w:cs="Arial"/>
                <w:b/>
              </w:rPr>
              <w:t xml:space="preserve"> </w:t>
            </w:r>
          </w:p>
        </w:tc>
        <w:tc>
          <w:tcPr>
            <w:tcW w:w="7707" w:type="dxa"/>
            <w:tcBorders>
              <w:top w:val="nil"/>
              <w:left w:val="nil"/>
              <w:bottom w:val="nil"/>
              <w:right w:val="nil"/>
            </w:tcBorders>
          </w:tcPr>
          <w:p w:rsidR="00C26380" w:rsidRDefault="00DE7B08">
            <w:pPr>
              <w:ind w:left="2"/>
            </w:pPr>
            <w:r>
              <w:t>Obchodní podmínky – Pojištění majetku, obecné odpovědnosti za škodu a vozidel Sportovního a rekreačního zařízení města Ostravy s.r.o.</w:t>
            </w:r>
          </w:p>
          <w:p w:rsidR="009D409E" w:rsidRDefault="009D409E">
            <w:pPr>
              <w:ind w:left="2"/>
            </w:pPr>
            <w:r>
              <w:t>Seznam vozidel</w:t>
            </w:r>
          </w:p>
        </w:tc>
      </w:tr>
      <w:tr w:rsidR="00C26380">
        <w:trPr>
          <w:trHeight w:val="389"/>
        </w:trPr>
        <w:tc>
          <w:tcPr>
            <w:tcW w:w="1416" w:type="dxa"/>
            <w:tcBorders>
              <w:top w:val="nil"/>
              <w:left w:val="nil"/>
              <w:bottom w:val="nil"/>
              <w:right w:val="nil"/>
            </w:tcBorders>
          </w:tcPr>
          <w:p w:rsidR="009D409E" w:rsidRDefault="00455A63">
            <w:pPr>
              <w:rPr>
                <w:b/>
              </w:rPr>
            </w:pPr>
            <w:r>
              <w:rPr>
                <w:b/>
              </w:rPr>
              <w:t>Příloha č. 5</w:t>
            </w:r>
          </w:p>
          <w:p w:rsidR="009D409E" w:rsidRDefault="009D409E">
            <w:pPr>
              <w:rPr>
                <w:b/>
              </w:rPr>
            </w:pPr>
          </w:p>
          <w:p w:rsidR="00C26380" w:rsidRDefault="009D409E">
            <w:r>
              <w:rPr>
                <w:b/>
              </w:rPr>
              <w:t>Příloha č. 5.1.</w:t>
            </w:r>
            <w:r w:rsidR="00455A63">
              <w:rPr>
                <w:rFonts w:ascii="Arial" w:eastAsia="Arial" w:hAnsi="Arial" w:cs="Arial"/>
                <w:b/>
              </w:rPr>
              <w:t xml:space="preserve"> </w:t>
            </w:r>
          </w:p>
        </w:tc>
        <w:tc>
          <w:tcPr>
            <w:tcW w:w="7707" w:type="dxa"/>
            <w:tcBorders>
              <w:top w:val="nil"/>
              <w:left w:val="nil"/>
              <w:bottom w:val="nil"/>
              <w:right w:val="nil"/>
            </w:tcBorders>
          </w:tcPr>
          <w:p w:rsidR="00DE7B08" w:rsidRDefault="00DE7B08" w:rsidP="00DE7B08">
            <w:pPr>
              <w:ind w:left="2"/>
            </w:pPr>
            <w:r>
              <w:t>Obchodní podmínky – Pojištění majetku, obecné odpovědnosti za škodu a vozidel OVANET a.s.</w:t>
            </w:r>
          </w:p>
          <w:p w:rsidR="009D409E" w:rsidRDefault="009D409E" w:rsidP="00DE7B08">
            <w:pPr>
              <w:ind w:left="2"/>
            </w:pPr>
            <w:r>
              <w:t>Seznam vozidel</w:t>
            </w:r>
          </w:p>
        </w:tc>
      </w:tr>
      <w:tr w:rsidR="00C26380">
        <w:trPr>
          <w:trHeight w:val="324"/>
        </w:trPr>
        <w:tc>
          <w:tcPr>
            <w:tcW w:w="1416" w:type="dxa"/>
            <w:tcBorders>
              <w:top w:val="nil"/>
              <w:left w:val="nil"/>
              <w:bottom w:val="nil"/>
              <w:right w:val="nil"/>
            </w:tcBorders>
          </w:tcPr>
          <w:p w:rsidR="00C26380" w:rsidRDefault="00455A63">
            <w:pPr>
              <w:rPr>
                <w:rFonts w:ascii="Arial" w:eastAsia="Arial" w:hAnsi="Arial" w:cs="Arial"/>
                <w:b/>
              </w:rPr>
            </w:pPr>
            <w:r>
              <w:rPr>
                <w:b/>
              </w:rPr>
              <w:t>Příloha č. 6</w:t>
            </w:r>
            <w:r>
              <w:rPr>
                <w:rFonts w:ascii="Arial" w:eastAsia="Arial" w:hAnsi="Arial" w:cs="Arial"/>
                <w:b/>
              </w:rPr>
              <w:t xml:space="preserve"> </w:t>
            </w:r>
          </w:p>
          <w:p w:rsidR="009D409E" w:rsidRDefault="009D409E">
            <w:pPr>
              <w:rPr>
                <w:rFonts w:ascii="Arial" w:eastAsia="Arial" w:hAnsi="Arial" w:cs="Arial"/>
                <w:b/>
              </w:rPr>
            </w:pPr>
          </w:p>
          <w:p w:rsidR="009D409E" w:rsidRDefault="009D409E">
            <w:r w:rsidRPr="009D409E">
              <w:rPr>
                <w:b/>
              </w:rPr>
              <w:t>Příloha č. 6.1.</w:t>
            </w:r>
          </w:p>
        </w:tc>
        <w:tc>
          <w:tcPr>
            <w:tcW w:w="7707" w:type="dxa"/>
            <w:tcBorders>
              <w:top w:val="nil"/>
              <w:left w:val="nil"/>
              <w:bottom w:val="nil"/>
              <w:right w:val="nil"/>
            </w:tcBorders>
          </w:tcPr>
          <w:p w:rsidR="004E56C2" w:rsidRDefault="004E56C2">
            <w:r>
              <w:t>Obchodní podmínky – Pojištění majetku, obecné odpovědnosti za škodu a vozidel VÍTKOVICE ARÉNY a.s.</w:t>
            </w:r>
          </w:p>
          <w:p w:rsidR="009D409E" w:rsidRDefault="009D409E">
            <w:r>
              <w:t>Seznam vozidel</w:t>
            </w:r>
          </w:p>
        </w:tc>
      </w:tr>
      <w:tr w:rsidR="004B1B82">
        <w:trPr>
          <w:trHeight w:val="324"/>
        </w:trPr>
        <w:tc>
          <w:tcPr>
            <w:tcW w:w="1416" w:type="dxa"/>
            <w:tcBorders>
              <w:top w:val="nil"/>
              <w:left w:val="nil"/>
              <w:bottom w:val="nil"/>
              <w:right w:val="nil"/>
            </w:tcBorders>
          </w:tcPr>
          <w:p w:rsidR="004B1B82" w:rsidRDefault="004B1B82">
            <w:pPr>
              <w:rPr>
                <w:b/>
              </w:rPr>
            </w:pPr>
            <w:r>
              <w:rPr>
                <w:b/>
              </w:rPr>
              <w:t>Příloha č. 7</w:t>
            </w:r>
          </w:p>
          <w:p w:rsidR="004E56C2" w:rsidRDefault="004E56C2">
            <w:pPr>
              <w:rPr>
                <w:b/>
              </w:rPr>
            </w:pPr>
          </w:p>
          <w:p w:rsidR="004E56C2" w:rsidRDefault="004E56C2">
            <w:pPr>
              <w:rPr>
                <w:b/>
              </w:rPr>
            </w:pPr>
            <w:r>
              <w:rPr>
                <w:b/>
              </w:rPr>
              <w:t xml:space="preserve">Příloha č. </w:t>
            </w:r>
            <w:r w:rsidR="009D409E">
              <w:rPr>
                <w:b/>
              </w:rPr>
              <w:t>7.1.</w:t>
            </w:r>
          </w:p>
          <w:p w:rsidR="004E56C2" w:rsidRDefault="004E56C2" w:rsidP="004E56C2">
            <w:pPr>
              <w:rPr>
                <w:b/>
              </w:rPr>
            </w:pPr>
            <w:r>
              <w:rPr>
                <w:b/>
              </w:rPr>
              <w:t xml:space="preserve">Příloha č. </w:t>
            </w:r>
            <w:r w:rsidR="009D409E">
              <w:rPr>
                <w:b/>
              </w:rPr>
              <w:t>8</w:t>
            </w:r>
          </w:p>
          <w:p w:rsidR="004E56C2" w:rsidRDefault="004E56C2" w:rsidP="004E56C2">
            <w:pPr>
              <w:rPr>
                <w:b/>
              </w:rPr>
            </w:pPr>
          </w:p>
          <w:p w:rsidR="004E56C2" w:rsidRDefault="004E56C2" w:rsidP="004E56C2">
            <w:pPr>
              <w:rPr>
                <w:b/>
              </w:rPr>
            </w:pPr>
            <w:r>
              <w:rPr>
                <w:b/>
              </w:rPr>
              <w:t xml:space="preserve">Příloha č. </w:t>
            </w:r>
            <w:r w:rsidR="009D409E">
              <w:rPr>
                <w:b/>
              </w:rPr>
              <w:t>9</w:t>
            </w:r>
          </w:p>
          <w:p w:rsidR="009D409E" w:rsidRDefault="009D409E" w:rsidP="004E56C2">
            <w:pPr>
              <w:rPr>
                <w:b/>
              </w:rPr>
            </w:pPr>
          </w:p>
          <w:p w:rsidR="004E56C2" w:rsidRDefault="004E56C2" w:rsidP="004E56C2">
            <w:pPr>
              <w:rPr>
                <w:b/>
              </w:rPr>
            </w:pPr>
            <w:r>
              <w:rPr>
                <w:b/>
              </w:rPr>
              <w:t>Příloha č. 1</w:t>
            </w:r>
            <w:r w:rsidR="009D409E">
              <w:rPr>
                <w:b/>
              </w:rPr>
              <w:t>0</w:t>
            </w:r>
          </w:p>
          <w:p w:rsidR="009D409E" w:rsidRDefault="009D409E" w:rsidP="004E56C2">
            <w:pPr>
              <w:rPr>
                <w:b/>
              </w:rPr>
            </w:pPr>
            <w:r>
              <w:rPr>
                <w:b/>
              </w:rPr>
              <w:t>Příloha č. 11</w:t>
            </w:r>
          </w:p>
        </w:tc>
        <w:tc>
          <w:tcPr>
            <w:tcW w:w="7707" w:type="dxa"/>
            <w:tcBorders>
              <w:top w:val="nil"/>
              <w:left w:val="nil"/>
              <w:bottom w:val="nil"/>
              <w:right w:val="nil"/>
            </w:tcBorders>
          </w:tcPr>
          <w:p w:rsidR="004E56C2" w:rsidRDefault="004E56C2">
            <w:r>
              <w:t>Obchodní podmínky – Pojištění majetku, obecné odpovědnosti za škodu a vozidel OZO Ostrava s.r.o.</w:t>
            </w:r>
          </w:p>
          <w:p w:rsidR="009D409E" w:rsidRDefault="009D409E">
            <w:r>
              <w:t>Seznam vozidel</w:t>
            </w:r>
          </w:p>
          <w:p w:rsidR="004E56C2" w:rsidRDefault="004E56C2">
            <w:r>
              <w:t>Obchodní podmínky – Pojištění odpovědnosti zaměstnanců Statutárního města Ostravy a některých městských obvodů</w:t>
            </w:r>
          </w:p>
          <w:p w:rsidR="004E56C2" w:rsidRDefault="004E56C2">
            <w:r>
              <w:t>Obchodní podmínky – Pojištění odpovědnosti managementu vyjmenovaných obchodních organizací</w:t>
            </w:r>
          </w:p>
          <w:p w:rsidR="004E56C2" w:rsidRDefault="004E56C2">
            <w:r>
              <w:t>Krycí list</w:t>
            </w:r>
          </w:p>
          <w:p w:rsidR="004E56C2" w:rsidRDefault="004E56C2" w:rsidP="004E56C2">
            <w:r>
              <w:t>Seznam pojištěných organizací</w:t>
            </w:r>
          </w:p>
          <w:p w:rsidR="004E56C2" w:rsidRDefault="004E56C2"/>
        </w:tc>
      </w:tr>
    </w:tbl>
    <w:p w:rsidR="00C26380" w:rsidRDefault="00820332" w:rsidP="00171F31">
      <w:pPr>
        <w:spacing w:after="588" w:line="248" w:lineRule="auto"/>
        <w:jc w:val="both"/>
      </w:pPr>
      <w:r>
        <w:t xml:space="preserve">V Ostravě dne </w:t>
      </w:r>
    </w:p>
    <w:p w:rsidR="00C26380" w:rsidRDefault="00455A63">
      <w:pPr>
        <w:spacing w:after="0"/>
        <w:ind w:left="10" w:right="120" w:hanging="10"/>
        <w:jc w:val="right"/>
      </w:pPr>
      <w:r>
        <w:t>____________________________</w:t>
      </w:r>
      <w:r>
        <w:rPr>
          <w:b/>
        </w:rPr>
        <w:t xml:space="preserve"> </w:t>
      </w:r>
    </w:p>
    <w:p w:rsidR="00C26380" w:rsidRDefault="003452EF">
      <w:pPr>
        <w:spacing w:after="0" w:line="265" w:lineRule="auto"/>
        <w:ind w:left="3716" w:hanging="10"/>
        <w:jc w:val="center"/>
      </w:pPr>
      <w:r>
        <w:rPr>
          <w:b/>
        </w:rPr>
        <w:t xml:space="preserve">                                     Statutární město Ostrava</w:t>
      </w:r>
    </w:p>
    <w:p w:rsidR="00FA3A3F" w:rsidRPr="00A217A5" w:rsidRDefault="00FA3A3F" w:rsidP="00A217A5">
      <w:pPr>
        <w:spacing w:after="0"/>
        <w:rPr>
          <w:rFonts w:ascii="Arial" w:hAnsi="Arial" w:cs="Arial"/>
          <w:color w:val="000000" w:themeColor="text1"/>
          <w:sz w:val="20"/>
          <w:szCs w:val="20"/>
        </w:rPr>
      </w:pPr>
      <w:r>
        <w:rPr>
          <w:rFonts w:ascii="Lucida Grande" w:hAnsi="Lucida Grande"/>
          <w:b/>
          <w:bCs/>
          <w:color w:val="003C69"/>
          <w:sz w:val="18"/>
          <w:szCs w:val="18"/>
        </w:rPr>
        <w:t xml:space="preserve">                                                                                      </w:t>
      </w:r>
      <w:r>
        <w:rPr>
          <w:rFonts w:ascii="Lucida Grande" w:hAnsi="Lucida Grande"/>
          <w:b/>
          <w:bCs/>
          <w:color w:val="003C69"/>
          <w:sz w:val="18"/>
          <w:szCs w:val="18"/>
        </w:rPr>
        <w:tab/>
      </w:r>
      <w:r>
        <w:rPr>
          <w:rFonts w:ascii="Lucida Grande" w:hAnsi="Lucida Grande"/>
          <w:b/>
          <w:bCs/>
          <w:color w:val="003C69"/>
          <w:sz w:val="18"/>
          <w:szCs w:val="18"/>
        </w:rPr>
        <w:tab/>
      </w:r>
      <w:r w:rsidRPr="00A217A5">
        <w:rPr>
          <w:rFonts w:ascii="Arial" w:hAnsi="Arial" w:cs="Arial"/>
          <w:bCs/>
          <w:color w:val="000000" w:themeColor="text1"/>
          <w:sz w:val="20"/>
          <w:szCs w:val="20"/>
        </w:rPr>
        <w:t xml:space="preserve">     </w:t>
      </w:r>
      <w:r w:rsidR="00A94AB4">
        <w:rPr>
          <w:rFonts w:ascii="Arial" w:hAnsi="Arial" w:cs="Arial"/>
          <w:bCs/>
          <w:color w:val="000000" w:themeColor="text1"/>
          <w:sz w:val="20"/>
          <w:szCs w:val="20"/>
        </w:rPr>
        <w:t>d</w:t>
      </w:r>
      <w:r w:rsidRPr="00A217A5">
        <w:rPr>
          <w:rFonts w:ascii="Arial" w:hAnsi="Arial" w:cs="Arial"/>
          <w:bCs/>
          <w:color w:val="000000" w:themeColor="text1"/>
          <w:sz w:val="20"/>
          <w:szCs w:val="20"/>
        </w:rPr>
        <w:t>oc</w:t>
      </w:r>
      <w:r w:rsidR="00A94AB4">
        <w:rPr>
          <w:rFonts w:ascii="Arial" w:hAnsi="Arial" w:cs="Arial"/>
          <w:bCs/>
          <w:color w:val="000000" w:themeColor="text1"/>
          <w:sz w:val="20"/>
          <w:szCs w:val="20"/>
        </w:rPr>
        <w:t>.</w:t>
      </w:r>
      <w:r w:rsidRPr="00A217A5">
        <w:rPr>
          <w:rFonts w:ascii="Arial" w:hAnsi="Arial" w:cs="Arial"/>
          <w:bCs/>
          <w:color w:val="000000" w:themeColor="text1"/>
          <w:sz w:val="20"/>
          <w:szCs w:val="20"/>
        </w:rPr>
        <w:t xml:space="preserve"> Ing. Iveta </w:t>
      </w:r>
      <w:proofErr w:type="spellStart"/>
      <w:r w:rsidRPr="00A217A5">
        <w:rPr>
          <w:rFonts w:ascii="Arial" w:hAnsi="Arial" w:cs="Arial"/>
          <w:bCs/>
          <w:color w:val="000000" w:themeColor="text1"/>
          <w:sz w:val="20"/>
          <w:szCs w:val="20"/>
        </w:rPr>
        <w:t>Vozňáková</w:t>
      </w:r>
      <w:proofErr w:type="spellEnd"/>
      <w:r w:rsidRPr="00A217A5">
        <w:rPr>
          <w:rFonts w:ascii="Arial" w:hAnsi="Arial" w:cs="Arial"/>
          <w:bCs/>
          <w:color w:val="000000" w:themeColor="text1"/>
          <w:sz w:val="20"/>
          <w:szCs w:val="20"/>
        </w:rPr>
        <w:t>, Ph.D.</w:t>
      </w:r>
      <w:r w:rsidR="00A217A5">
        <w:rPr>
          <w:rFonts w:ascii="Arial" w:hAnsi="Arial" w:cs="Arial"/>
          <w:bCs/>
          <w:color w:val="000000" w:themeColor="text1"/>
          <w:sz w:val="20"/>
          <w:szCs w:val="20"/>
        </w:rPr>
        <w:t>,</w:t>
      </w:r>
      <w:r w:rsidRPr="00A217A5">
        <w:rPr>
          <w:rFonts w:ascii="Arial" w:hAnsi="Arial" w:cs="Arial"/>
          <w:bCs/>
          <w:color w:val="000000" w:themeColor="text1"/>
          <w:sz w:val="20"/>
          <w:szCs w:val="20"/>
        </w:rPr>
        <w:t xml:space="preserve"> </w:t>
      </w:r>
    </w:p>
    <w:p w:rsidR="002307B5" w:rsidRPr="002E2F56" w:rsidRDefault="00FA3A3F" w:rsidP="002E2F56">
      <w:pPr>
        <w:spacing w:after="0"/>
        <w:ind w:left="5664" w:firstLine="708"/>
        <w:rPr>
          <w:rFonts w:ascii="Arial" w:hAnsi="Arial" w:cs="Arial"/>
          <w:color w:val="000000" w:themeColor="text1"/>
          <w:sz w:val="20"/>
          <w:szCs w:val="20"/>
        </w:rPr>
      </w:pPr>
      <w:r w:rsidRPr="00A217A5">
        <w:rPr>
          <w:rFonts w:ascii="Arial" w:hAnsi="Arial" w:cs="Arial"/>
          <w:color w:val="000000" w:themeColor="text1"/>
          <w:sz w:val="20"/>
          <w:szCs w:val="20"/>
        </w:rPr>
        <w:t xml:space="preserve"> náměstkyně primátora</w:t>
      </w:r>
    </w:p>
    <w:sectPr w:rsidR="002307B5" w:rsidRPr="002E2F56" w:rsidSect="0085138B">
      <w:footerReference w:type="even" r:id="rId15"/>
      <w:footerReference w:type="default" r:id="rId16"/>
      <w:footerReference w:type="first" r:id="rId17"/>
      <w:footnotePr>
        <w:numRestart w:val="eachPage"/>
      </w:footnotePr>
      <w:pgSz w:w="11900" w:h="16840"/>
      <w:pgMar w:top="760" w:right="1408" w:bottom="733" w:left="1416" w:header="709" w:footer="73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540" w:rsidRDefault="005A2540">
      <w:pPr>
        <w:spacing w:after="0" w:line="240" w:lineRule="auto"/>
      </w:pPr>
      <w:r>
        <w:separator/>
      </w:r>
    </w:p>
  </w:endnote>
  <w:endnote w:type="continuationSeparator" w:id="0">
    <w:p w:rsidR="005A2540" w:rsidRDefault="005A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altName w:val="Segoe UI"/>
    <w:charset w:val="00"/>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540" w:rsidRDefault="005A2540">
    <w:pPr>
      <w:tabs>
        <w:tab w:val="right" w:pos="9073"/>
      </w:tabs>
      <w:spacing w:after="0"/>
      <w:ind w:right="-2032"/>
    </w:pPr>
    <w:r>
      <w:t xml:space="preserve">Dokumentace zadávacího řízení </w:t>
    </w:r>
    <w:r>
      <w:rPr>
        <w:b/>
      </w:rPr>
      <w:t xml:space="preserve">OKPOJ0517 </w:t>
    </w:r>
    <w:r>
      <w:t xml:space="preserve">– příloha č. 6 </w:t>
    </w:r>
    <w:r>
      <w:tab/>
      <w:t xml:space="preserve">Stránka </w:t>
    </w:r>
    <w:r>
      <w:fldChar w:fldCharType="begin"/>
    </w:r>
    <w:r>
      <w:instrText xml:space="preserve"> PAGE   \* MERGEFORMAT </w:instrText>
    </w:r>
    <w:r>
      <w:fldChar w:fldCharType="separate"/>
    </w:r>
    <w:r>
      <w:rPr>
        <w:b/>
      </w:rPr>
      <w:t>1</w:t>
    </w:r>
    <w:r>
      <w:rPr>
        <w:b/>
      </w:rPr>
      <w:fldChar w:fldCharType="end"/>
    </w:r>
    <w:r>
      <w:t xml:space="preserve"> z </w:t>
    </w:r>
    <w:r>
      <w:rPr>
        <w:b/>
      </w:rPr>
      <w:t xml:space="preserve">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495160"/>
      <w:docPartObj>
        <w:docPartGallery w:val="Page Numbers (Bottom of Page)"/>
        <w:docPartUnique/>
      </w:docPartObj>
    </w:sdtPr>
    <w:sdtEndPr/>
    <w:sdtContent>
      <w:p w:rsidR="005A2540" w:rsidRDefault="005A2540">
        <w:pPr>
          <w:pStyle w:val="Zpat"/>
          <w:jc w:val="right"/>
        </w:pPr>
        <w:r>
          <w:fldChar w:fldCharType="begin"/>
        </w:r>
        <w:r>
          <w:instrText>PAGE   \* MERGEFORMAT</w:instrText>
        </w:r>
        <w:r>
          <w:fldChar w:fldCharType="separate"/>
        </w:r>
        <w:r w:rsidR="00B420DA">
          <w:rPr>
            <w:noProof/>
          </w:rPr>
          <w:t>17</w:t>
        </w:r>
        <w:r>
          <w:fldChar w:fldCharType="end"/>
        </w:r>
      </w:p>
    </w:sdtContent>
  </w:sdt>
  <w:p w:rsidR="005A2540" w:rsidRPr="00B172EC" w:rsidRDefault="005A2540" w:rsidP="00B172E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627122"/>
      <w:docPartObj>
        <w:docPartGallery w:val="Page Numbers (Bottom of Page)"/>
        <w:docPartUnique/>
      </w:docPartObj>
    </w:sdtPr>
    <w:sdtEndPr/>
    <w:sdtContent>
      <w:p w:rsidR="005A2540" w:rsidRDefault="005A2540">
        <w:pPr>
          <w:pStyle w:val="Zpat"/>
          <w:jc w:val="right"/>
        </w:pPr>
        <w:r>
          <w:fldChar w:fldCharType="begin"/>
        </w:r>
        <w:r>
          <w:instrText>PAGE   \* MERGEFORMAT</w:instrText>
        </w:r>
        <w:r>
          <w:fldChar w:fldCharType="separate"/>
        </w:r>
        <w:r w:rsidR="00B420DA">
          <w:rPr>
            <w:noProof/>
          </w:rPr>
          <w:t>1</w:t>
        </w:r>
        <w:r>
          <w:fldChar w:fldCharType="end"/>
        </w:r>
      </w:p>
    </w:sdtContent>
  </w:sdt>
  <w:p w:rsidR="005A2540" w:rsidRDefault="005A25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540" w:rsidRDefault="005A2540">
      <w:pPr>
        <w:spacing w:after="444"/>
      </w:pPr>
      <w:r>
        <w:separator/>
      </w:r>
    </w:p>
  </w:footnote>
  <w:footnote w:type="continuationSeparator" w:id="0">
    <w:p w:rsidR="005A2540" w:rsidRDefault="005A2540">
      <w:pPr>
        <w:spacing w:after="44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0198"/>
    <w:multiLevelType w:val="multilevel"/>
    <w:tmpl w:val="975624F2"/>
    <w:lvl w:ilvl="0">
      <w:start w:val="18"/>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E41E90"/>
    <w:multiLevelType w:val="hybridMultilevel"/>
    <w:tmpl w:val="4F68DF26"/>
    <w:lvl w:ilvl="0" w:tplc="397C9D5E">
      <w:start w:val="1"/>
      <w:numFmt w:val="lowerLetter"/>
      <w:lvlText w:val="%1)"/>
      <w:lvlJc w:val="left"/>
      <w:pPr>
        <w:ind w:left="6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04AEE78">
      <w:start w:val="1"/>
      <w:numFmt w:val="lowerLetter"/>
      <w:lvlText w:val="%2"/>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8DEFE94">
      <w:start w:val="1"/>
      <w:numFmt w:val="lowerRoman"/>
      <w:lvlText w:val="%3"/>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AB4BF36">
      <w:start w:val="1"/>
      <w:numFmt w:val="decimal"/>
      <w:lvlText w:val="%4"/>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AC19E2">
      <w:start w:val="1"/>
      <w:numFmt w:val="lowerLetter"/>
      <w:lvlText w:val="%5"/>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DA2359E">
      <w:start w:val="1"/>
      <w:numFmt w:val="lowerRoman"/>
      <w:lvlText w:val="%6"/>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6CE7AEE">
      <w:start w:val="1"/>
      <w:numFmt w:val="decimal"/>
      <w:lvlText w:val="%7"/>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B08A49E">
      <w:start w:val="1"/>
      <w:numFmt w:val="lowerLetter"/>
      <w:lvlText w:val="%8"/>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3B091CC">
      <w:start w:val="1"/>
      <w:numFmt w:val="lowerRoman"/>
      <w:lvlText w:val="%9"/>
      <w:lvlJc w:val="left"/>
      <w:pPr>
        <w:ind w:left="6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A94773"/>
    <w:multiLevelType w:val="hybridMultilevel"/>
    <w:tmpl w:val="ACCCB8D2"/>
    <w:lvl w:ilvl="0" w:tplc="55726894">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6EA4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4290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4832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50B4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B214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16B5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A28F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5C84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97052B"/>
    <w:multiLevelType w:val="hybridMultilevel"/>
    <w:tmpl w:val="D22A2152"/>
    <w:lvl w:ilvl="0" w:tplc="B06CA7F6">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EC8080A">
      <w:start w:val="1"/>
      <w:numFmt w:val="lowerLetter"/>
      <w:lvlRestart w:val="0"/>
      <w:lvlText w:val="%2)"/>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07414D2">
      <w:start w:val="1"/>
      <w:numFmt w:val="lowerRoman"/>
      <w:lvlText w:val="%3"/>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9CA69E">
      <w:start w:val="1"/>
      <w:numFmt w:val="decimal"/>
      <w:lvlText w:val="%4"/>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53AF202">
      <w:start w:val="1"/>
      <w:numFmt w:val="lowerLetter"/>
      <w:lvlText w:val="%5"/>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5328AAC">
      <w:start w:val="1"/>
      <w:numFmt w:val="lowerRoman"/>
      <w:lvlText w:val="%6"/>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D5CA246">
      <w:start w:val="1"/>
      <w:numFmt w:val="decimal"/>
      <w:lvlText w:val="%7"/>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0AA98E">
      <w:start w:val="1"/>
      <w:numFmt w:val="lowerLetter"/>
      <w:lvlText w:val="%8"/>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CF23678">
      <w:start w:val="1"/>
      <w:numFmt w:val="lowerRoman"/>
      <w:lvlText w:val="%9"/>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166796"/>
    <w:multiLevelType w:val="multilevel"/>
    <w:tmpl w:val="D152D292"/>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 w15:restartNumberingAfterBreak="0">
    <w:nsid w:val="109C6090"/>
    <w:multiLevelType w:val="hybridMultilevel"/>
    <w:tmpl w:val="6A48D6E2"/>
    <w:lvl w:ilvl="0" w:tplc="273C9FA0">
      <w:start w:val="2"/>
      <w:numFmt w:val="lowerLetter"/>
      <w:lvlText w:val="%1)"/>
      <w:lvlJc w:val="left"/>
      <w:pPr>
        <w:ind w:left="6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6F0147A">
      <w:start w:val="1"/>
      <w:numFmt w:val="lowerLetter"/>
      <w:lvlText w:val="%2"/>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39A650A">
      <w:start w:val="1"/>
      <w:numFmt w:val="lowerRoman"/>
      <w:lvlText w:val="%3"/>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0568B4A">
      <w:start w:val="1"/>
      <w:numFmt w:val="decimal"/>
      <w:lvlText w:val="%4"/>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9293EC">
      <w:start w:val="1"/>
      <w:numFmt w:val="lowerLetter"/>
      <w:lvlText w:val="%5"/>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8B68CB6">
      <w:start w:val="1"/>
      <w:numFmt w:val="lowerRoman"/>
      <w:lvlText w:val="%6"/>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1C8F470">
      <w:start w:val="1"/>
      <w:numFmt w:val="decimal"/>
      <w:lvlText w:val="%7"/>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98CF0E2">
      <w:start w:val="1"/>
      <w:numFmt w:val="lowerLetter"/>
      <w:lvlText w:val="%8"/>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0D095E0">
      <w:start w:val="1"/>
      <w:numFmt w:val="lowerRoman"/>
      <w:lvlText w:val="%9"/>
      <w:lvlJc w:val="left"/>
      <w:pPr>
        <w:ind w:left="6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6A26C4"/>
    <w:multiLevelType w:val="hybridMultilevel"/>
    <w:tmpl w:val="A95243E6"/>
    <w:lvl w:ilvl="0" w:tplc="450E8D12">
      <w:start w:val="14"/>
      <w:numFmt w:val="lowerLetter"/>
      <w:lvlText w:val="%1)"/>
      <w:lvlJc w:val="left"/>
      <w:pPr>
        <w:ind w:left="10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75EEA494">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4208B7E6">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851055EE">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5825E96">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AF88DB0">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792A032">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08EA5A26">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F30E1A74">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5BF7EEA"/>
    <w:multiLevelType w:val="hybridMultilevel"/>
    <w:tmpl w:val="34F64862"/>
    <w:lvl w:ilvl="0" w:tplc="394801E6">
      <w:start w:val="1"/>
      <w:numFmt w:val="decimal"/>
      <w:lvlText w:val="%1)"/>
      <w:lvlJc w:val="left"/>
      <w:pPr>
        <w:ind w:left="70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2A4066A8">
      <w:start w:val="1"/>
      <w:numFmt w:val="lowerLetter"/>
      <w:lvlText w:val="%2"/>
      <w:lvlJc w:val="left"/>
      <w:pPr>
        <w:ind w:left="1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9F12DBB6">
      <w:start w:val="1"/>
      <w:numFmt w:val="lowerRoman"/>
      <w:lvlText w:val="%3"/>
      <w:lvlJc w:val="left"/>
      <w:pPr>
        <w:ind w:left="2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873A1F2E">
      <w:start w:val="1"/>
      <w:numFmt w:val="decimal"/>
      <w:lvlText w:val="%4"/>
      <w:lvlJc w:val="left"/>
      <w:pPr>
        <w:ind w:left="3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4589672">
      <w:start w:val="1"/>
      <w:numFmt w:val="lowerLetter"/>
      <w:lvlText w:val="%5"/>
      <w:lvlJc w:val="left"/>
      <w:pPr>
        <w:ind w:left="39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04A68D88">
      <w:start w:val="1"/>
      <w:numFmt w:val="lowerRoman"/>
      <w:lvlText w:val="%6"/>
      <w:lvlJc w:val="left"/>
      <w:pPr>
        <w:ind w:left="46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38C2E348">
      <w:start w:val="1"/>
      <w:numFmt w:val="decimal"/>
      <w:lvlText w:val="%7"/>
      <w:lvlJc w:val="left"/>
      <w:pPr>
        <w:ind w:left="53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F243E66">
      <w:start w:val="1"/>
      <w:numFmt w:val="lowerLetter"/>
      <w:lvlText w:val="%8"/>
      <w:lvlJc w:val="left"/>
      <w:pPr>
        <w:ind w:left="61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7B2F448">
      <w:start w:val="1"/>
      <w:numFmt w:val="lowerRoman"/>
      <w:lvlText w:val="%9"/>
      <w:lvlJc w:val="left"/>
      <w:pPr>
        <w:ind w:left="68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1E636F"/>
    <w:multiLevelType w:val="hybridMultilevel"/>
    <w:tmpl w:val="DC44DF82"/>
    <w:lvl w:ilvl="0" w:tplc="1E445A96">
      <w:start w:val="1"/>
      <w:numFmt w:val="lowerLetter"/>
      <w:lvlText w:val="%1)"/>
      <w:lvlJc w:val="left"/>
      <w:pPr>
        <w:ind w:left="4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078A368">
      <w:start w:val="1"/>
      <w:numFmt w:val="lowerLetter"/>
      <w:lvlText w:val="%2"/>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0E26B06">
      <w:start w:val="1"/>
      <w:numFmt w:val="lowerRoman"/>
      <w:lvlText w:val="%3"/>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60CF710">
      <w:start w:val="1"/>
      <w:numFmt w:val="decimal"/>
      <w:lvlText w:val="%4"/>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86C8C14">
      <w:start w:val="1"/>
      <w:numFmt w:val="lowerLetter"/>
      <w:lvlText w:val="%5"/>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35E8D00">
      <w:start w:val="1"/>
      <w:numFmt w:val="lowerRoman"/>
      <w:lvlText w:val="%6"/>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E42A172">
      <w:start w:val="1"/>
      <w:numFmt w:val="decimal"/>
      <w:lvlText w:val="%7"/>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55CF5EE">
      <w:start w:val="1"/>
      <w:numFmt w:val="lowerLetter"/>
      <w:lvlText w:val="%8"/>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8BA8896">
      <w:start w:val="1"/>
      <w:numFmt w:val="lowerRoman"/>
      <w:lvlText w:val="%9"/>
      <w:lvlJc w:val="left"/>
      <w:pPr>
        <w:ind w:left="6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807562"/>
    <w:multiLevelType w:val="hybridMultilevel"/>
    <w:tmpl w:val="04D4B7E6"/>
    <w:lvl w:ilvl="0" w:tplc="91F8500C">
      <w:start w:val="1"/>
      <w:numFmt w:val="lowerLetter"/>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AE5EB4">
      <w:start w:val="1"/>
      <w:numFmt w:val="lowerLetter"/>
      <w:lvlText w:val="%2"/>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4B836CE">
      <w:start w:val="1"/>
      <w:numFmt w:val="lowerRoman"/>
      <w:lvlText w:val="%3"/>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1787DEA">
      <w:start w:val="1"/>
      <w:numFmt w:val="decimal"/>
      <w:lvlText w:val="%4"/>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264EA26">
      <w:start w:val="1"/>
      <w:numFmt w:val="lowerLetter"/>
      <w:lvlText w:val="%5"/>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EA6C83A">
      <w:start w:val="1"/>
      <w:numFmt w:val="lowerRoman"/>
      <w:lvlText w:val="%6"/>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5CE96E6">
      <w:start w:val="1"/>
      <w:numFmt w:val="decimal"/>
      <w:lvlText w:val="%7"/>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37CCB1C">
      <w:start w:val="1"/>
      <w:numFmt w:val="lowerLetter"/>
      <w:lvlText w:val="%8"/>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FDC1BCE">
      <w:start w:val="1"/>
      <w:numFmt w:val="lowerRoman"/>
      <w:lvlText w:val="%9"/>
      <w:lvlJc w:val="left"/>
      <w:pPr>
        <w:ind w:left="6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6322A1"/>
    <w:multiLevelType w:val="hybridMultilevel"/>
    <w:tmpl w:val="5CF0011C"/>
    <w:lvl w:ilvl="0" w:tplc="E9BA142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1103A76">
      <w:start w:val="1"/>
      <w:numFmt w:val="lowerLetter"/>
      <w:lvlText w:val="%2"/>
      <w:lvlJc w:val="left"/>
      <w:pPr>
        <w:ind w:left="10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D8918C">
      <w:start w:val="1"/>
      <w:numFmt w:val="decimal"/>
      <w:lvlRestart w:val="0"/>
      <w:lvlText w:val="%3."/>
      <w:lvlJc w:val="left"/>
      <w:pPr>
        <w:ind w:left="21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45A09F4">
      <w:start w:val="1"/>
      <w:numFmt w:val="decimal"/>
      <w:lvlText w:val="%4"/>
      <w:lvlJc w:val="left"/>
      <w:pPr>
        <w:ind w:left="24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C668B8">
      <w:start w:val="1"/>
      <w:numFmt w:val="lowerLetter"/>
      <w:lvlText w:val="%5"/>
      <w:lvlJc w:val="left"/>
      <w:pPr>
        <w:ind w:left="32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BA05A42">
      <w:start w:val="1"/>
      <w:numFmt w:val="lowerRoman"/>
      <w:lvlText w:val="%6"/>
      <w:lvlJc w:val="left"/>
      <w:pPr>
        <w:ind w:left="39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2D85A0C">
      <w:start w:val="1"/>
      <w:numFmt w:val="decimal"/>
      <w:lvlText w:val="%7"/>
      <w:lvlJc w:val="left"/>
      <w:pPr>
        <w:ind w:left="46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ADEF0B4">
      <w:start w:val="1"/>
      <w:numFmt w:val="lowerLetter"/>
      <w:lvlText w:val="%8"/>
      <w:lvlJc w:val="left"/>
      <w:pPr>
        <w:ind w:left="53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CA8BD3E">
      <w:start w:val="1"/>
      <w:numFmt w:val="lowerRoman"/>
      <w:lvlText w:val="%9"/>
      <w:lvlJc w:val="left"/>
      <w:pPr>
        <w:ind w:left="60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4111B6"/>
    <w:multiLevelType w:val="hybridMultilevel"/>
    <w:tmpl w:val="6C40675E"/>
    <w:lvl w:ilvl="0" w:tplc="EA66E788">
      <w:start w:val="1"/>
      <w:numFmt w:val="lowerLetter"/>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99210B0">
      <w:start w:val="1"/>
      <w:numFmt w:val="lowerLetter"/>
      <w:lvlText w:val="%2"/>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0167858">
      <w:start w:val="1"/>
      <w:numFmt w:val="lowerRoman"/>
      <w:lvlText w:val="%3"/>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67C4A48">
      <w:start w:val="1"/>
      <w:numFmt w:val="decimal"/>
      <w:lvlText w:val="%4"/>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D1E7990">
      <w:start w:val="1"/>
      <w:numFmt w:val="lowerLetter"/>
      <w:lvlText w:val="%5"/>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32BEA4">
      <w:start w:val="1"/>
      <w:numFmt w:val="lowerRoman"/>
      <w:lvlText w:val="%6"/>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4C6DB62">
      <w:start w:val="1"/>
      <w:numFmt w:val="decimal"/>
      <w:lvlText w:val="%7"/>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B1A32A0">
      <w:start w:val="1"/>
      <w:numFmt w:val="lowerLetter"/>
      <w:lvlText w:val="%8"/>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DA8D42">
      <w:start w:val="1"/>
      <w:numFmt w:val="lowerRoman"/>
      <w:lvlText w:val="%9"/>
      <w:lvlJc w:val="left"/>
      <w:pPr>
        <w:ind w:left="6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DE6E2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D45145"/>
    <w:multiLevelType w:val="hybridMultilevel"/>
    <w:tmpl w:val="F7ECC376"/>
    <w:lvl w:ilvl="0" w:tplc="1B1672E4">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33AA69E">
      <w:start w:val="1"/>
      <w:numFmt w:val="lowerLetter"/>
      <w:lvlText w:val="%2"/>
      <w:lvlJc w:val="left"/>
      <w:pPr>
        <w:ind w:left="5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D47536">
      <w:start w:val="1"/>
      <w:numFmt w:val="lowerLetter"/>
      <w:lvlRestart w:val="0"/>
      <w:lvlText w:val="%3)"/>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A4C14A4">
      <w:start w:val="1"/>
      <w:numFmt w:val="decimal"/>
      <w:lvlText w:val="%4"/>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7B66384">
      <w:start w:val="1"/>
      <w:numFmt w:val="lowerLetter"/>
      <w:lvlText w:val="%5"/>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766D44C">
      <w:start w:val="1"/>
      <w:numFmt w:val="lowerRoman"/>
      <w:lvlText w:val="%6"/>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ECE4B7A">
      <w:start w:val="1"/>
      <w:numFmt w:val="decimal"/>
      <w:lvlText w:val="%7"/>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048B9DA">
      <w:start w:val="1"/>
      <w:numFmt w:val="lowerLetter"/>
      <w:lvlText w:val="%8"/>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FA815F2">
      <w:start w:val="1"/>
      <w:numFmt w:val="lowerRoman"/>
      <w:lvlText w:val="%9"/>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7062C7"/>
    <w:multiLevelType w:val="multilevel"/>
    <w:tmpl w:val="92FE8BF6"/>
    <w:lvl w:ilvl="0">
      <w:start w:val="4"/>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5" w15:restartNumberingAfterBreak="0">
    <w:nsid w:val="2DE439D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F97DEE"/>
    <w:multiLevelType w:val="hybridMultilevel"/>
    <w:tmpl w:val="B104564A"/>
    <w:lvl w:ilvl="0" w:tplc="EBF23EC2">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E3AAC12">
      <w:start w:val="1"/>
      <w:numFmt w:val="lowerLetter"/>
      <w:lvlRestart w:val="0"/>
      <w:lvlText w:val="%2)"/>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DD64840">
      <w:start w:val="1"/>
      <w:numFmt w:val="lowerRoman"/>
      <w:lvlText w:val="%3"/>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ED872B6">
      <w:start w:val="1"/>
      <w:numFmt w:val="decimal"/>
      <w:lvlText w:val="%4"/>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E7E0242">
      <w:start w:val="1"/>
      <w:numFmt w:val="lowerLetter"/>
      <w:lvlText w:val="%5"/>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DC0E616">
      <w:start w:val="1"/>
      <w:numFmt w:val="lowerRoman"/>
      <w:lvlText w:val="%6"/>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FEE4082">
      <w:start w:val="1"/>
      <w:numFmt w:val="decimal"/>
      <w:lvlText w:val="%7"/>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8D0E130">
      <w:start w:val="1"/>
      <w:numFmt w:val="lowerLetter"/>
      <w:lvlText w:val="%8"/>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6F6DC88">
      <w:start w:val="1"/>
      <w:numFmt w:val="lowerRoman"/>
      <w:lvlText w:val="%9"/>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9C6FEE"/>
    <w:multiLevelType w:val="hybridMultilevel"/>
    <w:tmpl w:val="A044E096"/>
    <w:lvl w:ilvl="0" w:tplc="68841286">
      <w:start w:val="1"/>
      <w:numFmt w:val="lowerLetter"/>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7F22536">
      <w:start w:val="1"/>
      <w:numFmt w:val="lowerLetter"/>
      <w:lvlText w:val="%2"/>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9266F04">
      <w:start w:val="1"/>
      <w:numFmt w:val="lowerRoman"/>
      <w:lvlText w:val="%3"/>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AEA1E78">
      <w:start w:val="1"/>
      <w:numFmt w:val="decimal"/>
      <w:lvlText w:val="%4"/>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97C77E2">
      <w:start w:val="1"/>
      <w:numFmt w:val="lowerLetter"/>
      <w:lvlText w:val="%5"/>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E8E4F2E">
      <w:start w:val="1"/>
      <w:numFmt w:val="lowerRoman"/>
      <w:lvlText w:val="%6"/>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B74BF46">
      <w:start w:val="1"/>
      <w:numFmt w:val="decimal"/>
      <w:lvlText w:val="%7"/>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20A6F82">
      <w:start w:val="1"/>
      <w:numFmt w:val="lowerLetter"/>
      <w:lvlText w:val="%8"/>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6648FBE">
      <w:start w:val="1"/>
      <w:numFmt w:val="lowerRoman"/>
      <w:lvlText w:val="%9"/>
      <w:lvlJc w:val="left"/>
      <w:pPr>
        <w:ind w:left="6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B20938"/>
    <w:multiLevelType w:val="hybridMultilevel"/>
    <w:tmpl w:val="CA8A848C"/>
    <w:lvl w:ilvl="0" w:tplc="7A129398">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BC88B4">
      <w:start w:val="1"/>
      <w:numFmt w:val="lowerLetter"/>
      <w:lvlRestart w:val="0"/>
      <w:lvlText w:val="%2)"/>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748BB34">
      <w:start w:val="1"/>
      <w:numFmt w:val="lowerRoman"/>
      <w:lvlText w:val="%3"/>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432774E">
      <w:start w:val="1"/>
      <w:numFmt w:val="decimal"/>
      <w:lvlText w:val="%4"/>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0F6B3DA">
      <w:start w:val="1"/>
      <w:numFmt w:val="lowerLetter"/>
      <w:lvlText w:val="%5"/>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3A235A">
      <w:start w:val="1"/>
      <w:numFmt w:val="lowerRoman"/>
      <w:lvlText w:val="%6"/>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F3E036A">
      <w:start w:val="1"/>
      <w:numFmt w:val="decimal"/>
      <w:lvlText w:val="%7"/>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74A12A4">
      <w:start w:val="1"/>
      <w:numFmt w:val="lowerLetter"/>
      <w:lvlText w:val="%8"/>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92647FC">
      <w:start w:val="1"/>
      <w:numFmt w:val="lowerRoman"/>
      <w:lvlText w:val="%9"/>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76447C"/>
    <w:multiLevelType w:val="multilevel"/>
    <w:tmpl w:val="ED289F06"/>
    <w:lvl w:ilvl="0">
      <w:start w:val="5"/>
      <w:numFmt w:val="decimal"/>
      <w:lvlText w:val="%1"/>
      <w:lvlJc w:val="left"/>
      <w:pPr>
        <w:ind w:left="360" w:hanging="360"/>
      </w:pPr>
      <w:rPr>
        <w:rFonts w:hint="default"/>
      </w:rPr>
    </w:lvl>
    <w:lvl w:ilvl="1">
      <w:start w:val="8"/>
      <w:numFmt w:val="decimal"/>
      <w:lvlText w:val="%1.%2"/>
      <w:lvlJc w:val="left"/>
      <w:pPr>
        <w:ind w:left="1090" w:hanging="360"/>
      </w:pPr>
      <w:rPr>
        <w:rFonts w:hint="default"/>
        <w:b/>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20" w15:restartNumberingAfterBreak="0">
    <w:nsid w:val="39CF7F51"/>
    <w:multiLevelType w:val="singleLevel"/>
    <w:tmpl w:val="BAA618E2"/>
    <w:lvl w:ilvl="0">
      <w:numFmt w:val="bullet"/>
      <w:lvlText w:val="-"/>
      <w:lvlJc w:val="left"/>
      <w:pPr>
        <w:tabs>
          <w:tab w:val="num" w:pos="360"/>
        </w:tabs>
        <w:ind w:left="360" w:hanging="360"/>
      </w:pPr>
      <w:rPr>
        <w:rFonts w:hint="default"/>
      </w:rPr>
    </w:lvl>
  </w:abstractNum>
  <w:abstractNum w:abstractNumId="21" w15:restartNumberingAfterBreak="0">
    <w:nsid w:val="3AA46BA3"/>
    <w:multiLevelType w:val="hybridMultilevel"/>
    <w:tmpl w:val="787CA3FE"/>
    <w:lvl w:ilvl="0" w:tplc="A5B8128A">
      <w:start w:val="1"/>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2" w15:restartNumberingAfterBreak="0">
    <w:nsid w:val="3CA425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A5200D"/>
    <w:multiLevelType w:val="multilevel"/>
    <w:tmpl w:val="20CA6EF2"/>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ascii="Calibri" w:hAnsi="Calibri" w:hint="default"/>
        <w:b/>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452557"/>
    <w:multiLevelType w:val="multilevel"/>
    <w:tmpl w:val="62DE620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536AEC"/>
    <w:multiLevelType w:val="hybridMultilevel"/>
    <w:tmpl w:val="6854F99E"/>
    <w:lvl w:ilvl="0" w:tplc="EDC43B46">
      <w:start w:val="1"/>
      <w:numFmt w:val="lowerLetter"/>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510F7D8">
      <w:start w:val="1"/>
      <w:numFmt w:val="lowerLetter"/>
      <w:lvlText w:val="%2"/>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4C8B59C">
      <w:start w:val="1"/>
      <w:numFmt w:val="lowerRoman"/>
      <w:lvlText w:val="%3"/>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C2CAB7A">
      <w:start w:val="1"/>
      <w:numFmt w:val="decimal"/>
      <w:lvlText w:val="%4"/>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9DA03DC">
      <w:start w:val="1"/>
      <w:numFmt w:val="lowerLetter"/>
      <w:lvlText w:val="%5"/>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5303BAE">
      <w:start w:val="1"/>
      <w:numFmt w:val="lowerRoman"/>
      <w:lvlText w:val="%6"/>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A240ADE">
      <w:start w:val="1"/>
      <w:numFmt w:val="decimal"/>
      <w:lvlText w:val="%7"/>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FAA504A">
      <w:start w:val="1"/>
      <w:numFmt w:val="lowerLetter"/>
      <w:lvlText w:val="%8"/>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73EE8AA">
      <w:start w:val="1"/>
      <w:numFmt w:val="lowerRoman"/>
      <w:lvlText w:val="%9"/>
      <w:lvlJc w:val="left"/>
      <w:pPr>
        <w:ind w:left="6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7BC29FA"/>
    <w:multiLevelType w:val="multilevel"/>
    <w:tmpl w:val="4F0CE5A6"/>
    <w:lvl w:ilvl="0">
      <w:start w:val="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0039A1"/>
    <w:multiLevelType w:val="hybridMultilevel"/>
    <w:tmpl w:val="102256FC"/>
    <w:lvl w:ilvl="0" w:tplc="9B185D02">
      <w:start w:val="1"/>
      <w:numFmt w:val="lowerLetter"/>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85E43DE">
      <w:start w:val="1"/>
      <w:numFmt w:val="lowerLetter"/>
      <w:lvlText w:val="%2"/>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038DDA4">
      <w:start w:val="1"/>
      <w:numFmt w:val="lowerRoman"/>
      <w:lvlText w:val="%3"/>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642AE8">
      <w:start w:val="1"/>
      <w:numFmt w:val="decimal"/>
      <w:lvlText w:val="%4"/>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38AF9C2">
      <w:start w:val="1"/>
      <w:numFmt w:val="lowerLetter"/>
      <w:lvlText w:val="%5"/>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900A3A">
      <w:start w:val="1"/>
      <w:numFmt w:val="lowerRoman"/>
      <w:lvlText w:val="%6"/>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2A2689A">
      <w:start w:val="1"/>
      <w:numFmt w:val="decimal"/>
      <w:lvlText w:val="%7"/>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762E1B2">
      <w:start w:val="1"/>
      <w:numFmt w:val="lowerLetter"/>
      <w:lvlText w:val="%8"/>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A52FB66">
      <w:start w:val="1"/>
      <w:numFmt w:val="lowerRoman"/>
      <w:lvlText w:val="%9"/>
      <w:lvlJc w:val="left"/>
      <w:pPr>
        <w:ind w:left="6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9575363"/>
    <w:multiLevelType w:val="multilevel"/>
    <w:tmpl w:val="7C3A2496"/>
    <w:lvl w:ilvl="0">
      <w:start w:val="6"/>
      <w:numFmt w:val="decimal"/>
      <w:lvlText w:val="%1"/>
      <w:lvlJc w:val="left"/>
      <w:pPr>
        <w:ind w:left="360" w:hanging="360"/>
      </w:pPr>
      <w:rPr>
        <w:rFonts w:hint="default"/>
        <w:b/>
      </w:rPr>
    </w:lvl>
    <w:lvl w:ilvl="1">
      <w:start w:val="5"/>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9" w15:restartNumberingAfterBreak="0">
    <w:nsid w:val="4CEE0C5F"/>
    <w:multiLevelType w:val="multilevel"/>
    <w:tmpl w:val="9E0A68FA"/>
    <w:lvl w:ilvl="0">
      <w:start w:val="5"/>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269545B"/>
    <w:multiLevelType w:val="hybridMultilevel"/>
    <w:tmpl w:val="ED488D62"/>
    <w:lvl w:ilvl="0" w:tplc="D1E00BF2">
      <w:start w:val="1"/>
      <w:numFmt w:val="bullet"/>
      <w:lvlText w:val=""/>
      <w:lvlJc w:val="left"/>
      <w:pPr>
        <w:ind w:left="502" w:hanging="360"/>
      </w:pPr>
      <w:rPr>
        <w:rFonts w:ascii="Wingdings" w:hAnsi="Wingdings"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1" w15:restartNumberingAfterBreak="0">
    <w:nsid w:val="5429763F"/>
    <w:multiLevelType w:val="multilevel"/>
    <w:tmpl w:val="674C53B6"/>
    <w:lvl w:ilvl="0">
      <w:start w:val="6"/>
      <w:numFmt w:val="decimal"/>
      <w:lvlText w:val="%1"/>
      <w:lvlJc w:val="left"/>
      <w:pPr>
        <w:ind w:left="360" w:hanging="360"/>
      </w:pPr>
      <w:rPr>
        <w:rFonts w:hint="default"/>
        <w:b/>
      </w:rPr>
    </w:lvl>
    <w:lvl w:ilvl="1">
      <w:start w:val="9"/>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32" w15:restartNumberingAfterBreak="0">
    <w:nsid w:val="59820A43"/>
    <w:multiLevelType w:val="hybridMultilevel"/>
    <w:tmpl w:val="CA3CD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00749BC"/>
    <w:multiLevelType w:val="hybridMultilevel"/>
    <w:tmpl w:val="E00CABB8"/>
    <w:lvl w:ilvl="0" w:tplc="60BEB488">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62A0318">
      <w:start w:val="1"/>
      <w:numFmt w:val="lowerLetter"/>
      <w:lvlRestart w:val="0"/>
      <w:lvlText w:val="%2)"/>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08483CE">
      <w:start w:val="1"/>
      <w:numFmt w:val="lowerRoman"/>
      <w:lvlText w:val="%3"/>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C329C8A">
      <w:start w:val="1"/>
      <w:numFmt w:val="decimal"/>
      <w:lvlText w:val="%4"/>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788004">
      <w:start w:val="1"/>
      <w:numFmt w:val="lowerLetter"/>
      <w:lvlText w:val="%5"/>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C1651EC">
      <w:start w:val="1"/>
      <w:numFmt w:val="lowerRoman"/>
      <w:lvlText w:val="%6"/>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6C8AEB0">
      <w:start w:val="1"/>
      <w:numFmt w:val="decimal"/>
      <w:lvlText w:val="%7"/>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880FE80">
      <w:start w:val="1"/>
      <w:numFmt w:val="lowerLetter"/>
      <w:lvlText w:val="%8"/>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1F06782">
      <w:start w:val="1"/>
      <w:numFmt w:val="lowerRoman"/>
      <w:lvlText w:val="%9"/>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24E1972"/>
    <w:multiLevelType w:val="hybridMultilevel"/>
    <w:tmpl w:val="B89834E8"/>
    <w:lvl w:ilvl="0" w:tplc="0FDCD680">
      <w:start w:val="1"/>
      <w:numFmt w:val="lowerLetter"/>
      <w:lvlText w:val="%1)"/>
      <w:lvlJc w:val="left"/>
      <w:pPr>
        <w:ind w:left="6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3A61EBE">
      <w:start w:val="1"/>
      <w:numFmt w:val="lowerLetter"/>
      <w:lvlText w:val="%2"/>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1F8D314">
      <w:start w:val="1"/>
      <w:numFmt w:val="lowerRoman"/>
      <w:lvlText w:val="%3"/>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67818E6">
      <w:start w:val="1"/>
      <w:numFmt w:val="decimal"/>
      <w:lvlText w:val="%4"/>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730AE8E">
      <w:start w:val="1"/>
      <w:numFmt w:val="lowerLetter"/>
      <w:lvlText w:val="%5"/>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04E9F3E">
      <w:start w:val="1"/>
      <w:numFmt w:val="lowerRoman"/>
      <w:lvlText w:val="%6"/>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052C6C4">
      <w:start w:val="1"/>
      <w:numFmt w:val="decimal"/>
      <w:lvlText w:val="%7"/>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730A408">
      <w:start w:val="1"/>
      <w:numFmt w:val="lowerLetter"/>
      <w:lvlText w:val="%8"/>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75A853E">
      <w:start w:val="1"/>
      <w:numFmt w:val="lowerRoman"/>
      <w:lvlText w:val="%9"/>
      <w:lvlJc w:val="left"/>
      <w:pPr>
        <w:ind w:left="6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55D7F0B"/>
    <w:multiLevelType w:val="hybridMultilevel"/>
    <w:tmpl w:val="345E776C"/>
    <w:lvl w:ilvl="0" w:tplc="CBEEDE10">
      <w:start w:val="1"/>
      <w:numFmt w:val="lowerLetter"/>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4EAEA0">
      <w:start w:val="1"/>
      <w:numFmt w:val="lowerLetter"/>
      <w:lvlText w:val="%2"/>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71AACBA">
      <w:start w:val="1"/>
      <w:numFmt w:val="lowerRoman"/>
      <w:lvlText w:val="%3"/>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05CCFB4">
      <w:start w:val="1"/>
      <w:numFmt w:val="decimal"/>
      <w:lvlText w:val="%4"/>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1A655E2">
      <w:start w:val="1"/>
      <w:numFmt w:val="lowerLetter"/>
      <w:lvlText w:val="%5"/>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224D15E">
      <w:start w:val="1"/>
      <w:numFmt w:val="lowerRoman"/>
      <w:lvlText w:val="%6"/>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ED402B0">
      <w:start w:val="1"/>
      <w:numFmt w:val="decimal"/>
      <w:lvlText w:val="%7"/>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0865904">
      <w:start w:val="1"/>
      <w:numFmt w:val="lowerLetter"/>
      <w:lvlText w:val="%8"/>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F168B0A">
      <w:start w:val="1"/>
      <w:numFmt w:val="lowerRoman"/>
      <w:lvlText w:val="%9"/>
      <w:lvlJc w:val="left"/>
      <w:pPr>
        <w:ind w:left="6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76A0F40"/>
    <w:multiLevelType w:val="hybridMultilevel"/>
    <w:tmpl w:val="829623BC"/>
    <w:lvl w:ilvl="0" w:tplc="33DE121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51A27B2">
      <w:start w:val="1"/>
      <w:numFmt w:val="lowerLetter"/>
      <w:lvlRestart w:val="0"/>
      <w:lvlText w:val="%2)"/>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468BEE2">
      <w:start w:val="1"/>
      <w:numFmt w:val="lowerRoman"/>
      <w:lvlText w:val="%3"/>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090AAFE">
      <w:start w:val="1"/>
      <w:numFmt w:val="decimal"/>
      <w:lvlText w:val="%4"/>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13A6EA0">
      <w:start w:val="1"/>
      <w:numFmt w:val="lowerLetter"/>
      <w:lvlText w:val="%5"/>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EAA8C4E">
      <w:start w:val="1"/>
      <w:numFmt w:val="lowerRoman"/>
      <w:lvlText w:val="%6"/>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93A46B0">
      <w:start w:val="1"/>
      <w:numFmt w:val="decimal"/>
      <w:lvlText w:val="%7"/>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24E84E">
      <w:start w:val="1"/>
      <w:numFmt w:val="lowerLetter"/>
      <w:lvlText w:val="%8"/>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FCA880">
      <w:start w:val="1"/>
      <w:numFmt w:val="lowerRoman"/>
      <w:lvlText w:val="%9"/>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8" w15:restartNumberingAfterBreak="0">
    <w:nsid w:val="6E894A11"/>
    <w:multiLevelType w:val="hybridMultilevel"/>
    <w:tmpl w:val="84DC5636"/>
    <w:lvl w:ilvl="0" w:tplc="03D66028">
      <w:start w:val="1"/>
      <w:numFmt w:val="decimal"/>
      <w:lvlText w:val="9.%1."/>
      <w:lvlJc w:val="left"/>
      <w:pPr>
        <w:ind w:left="1778" w:hanging="360"/>
      </w:pPr>
      <w:rPr>
        <w:rFonts w:hint="default"/>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723A6267"/>
    <w:multiLevelType w:val="hybridMultilevel"/>
    <w:tmpl w:val="B85875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BE192E"/>
    <w:multiLevelType w:val="singleLevel"/>
    <w:tmpl w:val="BAA618E2"/>
    <w:lvl w:ilvl="0">
      <w:numFmt w:val="bullet"/>
      <w:lvlText w:val="-"/>
      <w:lvlJc w:val="left"/>
      <w:pPr>
        <w:tabs>
          <w:tab w:val="num" w:pos="360"/>
        </w:tabs>
        <w:ind w:left="360" w:hanging="360"/>
      </w:pPr>
      <w:rPr>
        <w:rFonts w:hint="default"/>
      </w:rPr>
    </w:lvl>
  </w:abstractNum>
  <w:abstractNum w:abstractNumId="41" w15:restartNumberingAfterBreak="0">
    <w:nsid w:val="75731726"/>
    <w:multiLevelType w:val="hybridMultilevel"/>
    <w:tmpl w:val="66069206"/>
    <w:lvl w:ilvl="0" w:tplc="8CCE3906">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5AE5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E60C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DC45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463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B6CE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E8BB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48BE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7655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5F6A97"/>
    <w:multiLevelType w:val="hybridMultilevel"/>
    <w:tmpl w:val="D78A5878"/>
    <w:lvl w:ilvl="0" w:tplc="8552392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3B4F40A">
      <w:start w:val="1"/>
      <w:numFmt w:val="lowerLetter"/>
      <w:lvlRestart w:val="0"/>
      <w:lvlText w:val="%2)"/>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1941210">
      <w:start w:val="1"/>
      <w:numFmt w:val="lowerRoman"/>
      <w:lvlText w:val="%3"/>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5FE48F8">
      <w:start w:val="1"/>
      <w:numFmt w:val="decimal"/>
      <w:lvlText w:val="%4"/>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4B299B2">
      <w:start w:val="1"/>
      <w:numFmt w:val="lowerLetter"/>
      <w:lvlText w:val="%5"/>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F780B2A">
      <w:start w:val="1"/>
      <w:numFmt w:val="lowerRoman"/>
      <w:lvlText w:val="%6"/>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4767F9A">
      <w:start w:val="1"/>
      <w:numFmt w:val="decimal"/>
      <w:lvlText w:val="%7"/>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10CCF70">
      <w:start w:val="1"/>
      <w:numFmt w:val="lowerLetter"/>
      <w:lvlText w:val="%8"/>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EE8F094">
      <w:start w:val="1"/>
      <w:numFmt w:val="lowerRoman"/>
      <w:lvlText w:val="%9"/>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7D163FF"/>
    <w:multiLevelType w:val="hybridMultilevel"/>
    <w:tmpl w:val="D952E104"/>
    <w:lvl w:ilvl="0" w:tplc="DAC8C2A6">
      <w:start w:val="1"/>
      <w:numFmt w:val="lowerLetter"/>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EA4ECDC">
      <w:start w:val="1"/>
      <w:numFmt w:val="lowerLetter"/>
      <w:lvlText w:val="%2"/>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AE2CD2E">
      <w:start w:val="1"/>
      <w:numFmt w:val="lowerRoman"/>
      <w:lvlText w:val="%3"/>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846406E">
      <w:start w:val="1"/>
      <w:numFmt w:val="decimal"/>
      <w:lvlText w:val="%4"/>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16ADCBE">
      <w:start w:val="1"/>
      <w:numFmt w:val="lowerLetter"/>
      <w:lvlText w:val="%5"/>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B860370">
      <w:start w:val="1"/>
      <w:numFmt w:val="lowerRoman"/>
      <w:lvlText w:val="%6"/>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D22056">
      <w:start w:val="1"/>
      <w:numFmt w:val="decimal"/>
      <w:lvlText w:val="%7"/>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85C0B2E">
      <w:start w:val="1"/>
      <w:numFmt w:val="lowerLetter"/>
      <w:lvlText w:val="%8"/>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32E18E">
      <w:start w:val="1"/>
      <w:numFmt w:val="lowerRoman"/>
      <w:lvlText w:val="%9"/>
      <w:lvlJc w:val="left"/>
      <w:pPr>
        <w:ind w:left="6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C7E3E5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937510"/>
    <w:multiLevelType w:val="multilevel"/>
    <w:tmpl w:val="2BA2600C"/>
    <w:lvl w:ilvl="0">
      <w:start w:val="5"/>
      <w:numFmt w:val="decimal"/>
      <w:lvlText w:val="%1"/>
      <w:lvlJc w:val="left"/>
      <w:pPr>
        <w:ind w:left="375" w:hanging="375"/>
      </w:pPr>
      <w:rPr>
        <w:rFonts w:hint="default"/>
      </w:rPr>
    </w:lvl>
    <w:lvl w:ilvl="1">
      <w:start w:val="10"/>
      <w:numFmt w:val="decimal"/>
      <w:lvlText w:val="%1.%2"/>
      <w:lvlJc w:val="left"/>
      <w:pPr>
        <w:ind w:left="1105" w:hanging="375"/>
      </w:pPr>
      <w:rPr>
        <w:rFonts w:hint="default"/>
        <w:b/>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46" w15:restartNumberingAfterBreak="0">
    <w:nsid w:val="7FA52D06"/>
    <w:multiLevelType w:val="hybridMultilevel"/>
    <w:tmpl w:val="118C99E6"/>
    <w:lvl w:ilvl="0" w:tplc="B80C3B32">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6DC7134">
      <w:start w:val="1"/>
      <w:numFmt w:val="lowerLetter"/>
      <w:lvlRestart w:val="0"/>
      <w:lvlText w:val="%2)"/>
      <w:lvlJc w:val="left"/>
      <w:pPr>
        <w:ind w:left="6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2C4542E">
      <w:start w:val="1"/>
      <w:numFmt w:val="lowerRoman"/>
      <w:lvlText w:val="%3"/>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8F82380">
      <w:start w:val="1"/>
      <w:numFmt w:val="decimal"/>
      <w:lvlText w:val="%4"/>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0BA0EE8">
      <w:start w:val="1"/>
      <w:numFmt w:val="lowerLetter"/>
      <w:lvlText w:val="%5"/>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84E8062">
      <w:start w:val="1"/>
      <w:numFmt w:val="lowerRoman"/>
      <w:lvlText w:val="%6"/>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5BC74CA">
      <w:start w:val="1"/>
      <w:numFmt w:val="decimal"/>
      <w:lvlText w:val="%7"/>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A74CBD6">
      <w:start w:val="1"/>
      <w:numFmt w:val="lowerLetter"/>
      <w:lvlText w:val="%8"/>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134A360">
      <w:start w:val="1"/>
      <w:numFmt w:val="lowerRoman"/>
      <w:lvlText w:val="%9"/>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5"/>
  </w:num>
  <w:num w:numId="3">
    <w:abstractNumId w:val="26"/>
  </w:num>
  <w:num w:numId="4">
    <w:abstractNumId w:val="34"/>
  </w:num>
  <w:num w:numId="5">
    <w:abstractNumId w:val="5"/>
  </w:num>
  <w:num w:numId="6">
    <w:abstractNumId w:val="7"/>
  </w:num>
  <w:num w:numId="7">
    <w:abstractNumId w:val="1"/>
  </w:num>
  <w:num w:numId="8">
    <w:abstractNumId w:val="36"/>
  </w:num>
  <w:num w:numId="9">
    <w:abstractNumId w:val="33"/>
  </w:num>
  <w:num w:numId="10">
    <w:abstractNumId w:val="16"/>
  </w:num>
  <w:num w:numId="11">
    <w:abstractNumId w:val="42"/>
  </w:num>
  <w:num w:numId="12">
    <w:abstractNumId w:val="3"/>
  </w:num>
  <w:num w:numId="13">
    <w:abstractNumId w:val="46"/>
  </w:num>
  <w:num w:numId="14">
    <w:abstractNumId w:val="10"/>
  </w:num>
  <w:num w:numId="15">
    <w:abstractNumId w:val="18"/>
  </w:num>
  <w:num w:numId="16">
    <w:abstractNumId w:val="41"/>
  </w:num>
  <w:num w:numId="17">
    <w:abstractNumId w:val="13"/>
  </w:num>
  <w:num w:numId="18">
    <w:abstractNumId w:val="17"/>
  </w:num>
  <w:num w:numId="19">
    <w:abstractNumId w:val="43"/>
  </w:num>
  <w:num w:numId="20">
    <w:abstractNumId w:val="27"/>
  </w:num>
  <w:num w:numId="21">
    <w:abstractNumId w:val="9"/>
  </w:num>
  <w:num w:numId="22">
    <w:abstractNumId w:val="8"/>
  </w:num>
  <w:num w:numId="23">
    <w:abstractNumId w:val="11"/>
  </w:num>
  <w:num w:numId="24">
    <w:abstractNumId w:val="25"/>
  </w:num>
  <w:num w:numId="25">
    <w:abstractNumId w:val="21"/>
  </w:num>
  <w:num w:numId="26">
    <w:abstractNumId w:val="37"/>
  </w:num>
  <w:num w:numId="27">
    <w:abstractNumId w:val="4"/>
  </w:num>
  <w:num w:numId="28">
    <w:abstractNumId w:val="40"/>
  </w:num>
  <w:num w:numId="29">
    <w:abstractNumId w:val="20"/>
  </w:num>
  <w:num w:numId="30">
    <w:abstractNumId w:val="14"/>
  </w:num>
  <w:num w:numId="31">
    <w:abstractNumId w:val="19"/>
  </w:num>
  <w:num w:numId="32">
    <w:abstractNumId w:val="45"/>
  </w:num>
  <w:num w:numId="33">
    <w:abstractNumId w:val="38"/>
  </w:num>
  <w:num w:numId="34">
    <w:abstractNumId w:val="30"/>
  </w:num>
  <w:num w:numId="35">
    <w:abstractNumId w:val="24"/>
  </w:num>
  <w:num w:numId="36">
    <w:abstractNumId w:val="44"/>
  </w:num>
  <w:num w:numId="37">
    <w:abstractNumId w:val="12"/>
  </w:num>
  <w:num w:numId="38">
    <w:abstractNumId w:val="22"/>
  </w:num>
  <w:num w:numId="39">
    <w:abstractNumId w:val="15"/>
  </w:num>
  <w:num w:numId="40">
    <w:abstractNumId w:val="28"/>
  </w:num>
  <w:num w:numId="41">
    <w:abstractNumId w:val="31"/>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9"/>
  </w:num>
  <w:num w:numId="46">
    <w:abstractNumId w:val="39"/>
  </w:num>
  <w:num w:numId="47">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80"/>
    <w:rsid w:val="00002C1B"/>
    <w:rsid w:val="00044603"/>
    <w:rsid w:val="0004542F"/>
    <w:rsid w:val="0009085C"/>
    <w:rsid w:val="000909AD"/>
    <w:rsid w:val="000A0FD4"/>
    <w:rsid w:val="000A3C79"/>
    <w:rsid w:val="000D1C0E"/>
    <w:rsid w:val="000E164B"/>
    <w:rsid w:val="000F3DDE"/>
    <w:rsid w:val="001210D8"/>
    <w:rsid w:val="00126AE2"/>
    <w:rsid w:val="001514B0"/>
    <w:rsid w:val="00160BDA"/>
    <w:rsid w:val="00171F31"/>
    <w:rsid w:val="00173361"/>
    <w:rsid w:val="0017673A"/>
    <w:rsid w:val="001828CF"/>
    <w:rsid w:val="001837C6"/>
    <w:rsid w:val="00191E3D"/>
    <w:rsid w:val="001C30C5"/>
    <w:rsid w:val="001F5801"/>
    <w:rsid w:val="00203258"/>
    <w:rsid w:val="00212AA5"/>
    <w:rsid w:val="00225978"/>
    <w:rsid w:val="00227D81"/>
    <w:rsid w:val="002307B5"/>
    <w:rsid w:val="00254299"/>
    <w:rsid w:val="00256049"/>
    <w:rsid w:val="00262CFE"/>
    <w:rsid w:val="00283ED7"/>
    <w:rsid w:val="00297887"/>
    <w:rsid w:val="002B0A59"/>
    <w:rsid w:val="002B1F16"/>
    <w:rsid w:val="002B5A15"/>
    <w:rsid w:val="002D41C8"/>
    <w:rsid w:val="002E2F56"/>
    <w:rsid w:val="00304BFF"/>
    <w:rsid w:val="00312169"/>
    <w:rsid w:val="003216AB"/>
    <w:rsid w:val="0032724C"/>
    <w:rsid w:val="00343E17"/>
    <w:rsid w:val="003452EF"/>
    <w:rsid w:val="00357EB2"/>
    <w:rsid w:val="00374EC7"/>
    <w:rsid w:val="00390050"/>
    <w:rsid w:val="003B3C6A"/>
    <w:rsid w:val="003C3701"/>
    <w:rsid w:val="003C38C9"/>
    <w:rsid w:val="003D6A6A"/>
    <w:rsid w:val="003E1473"/>
    <w:rsid w:val="003E606D"/>
    <w:rsid w:val="003F2FD7"/>
    <w:rsid w:val="0040024B"/>
    <w:rsid w:val="00420452"/>
    <w:rsid w:val="00437B5A"/>
    <w:rsid w:val="00442BA9"/>
    <w:rsid w:val="00455A63"/>
    <w:rsid w:val="004674FA"/>
    <w:rsid w:val="004774C0"/>
    <w:rsid w:val="00490034"/>
    <w:rsid w:val="00494DF0"/>
    <w:rsid w:val="004A1E48"/>
    <w:rsid w:val="004B1B82"/>
    <w:rsid w:val="004D5FA8"/>
    <w:rsid w:val="004E56C2"/>
    <w:rsid w:val="004F0D3D"/>
    <w:rsid w:val="004F5CBF"/>
    <w:rsid w:val="00516221"/>
    <w:rsid w:val="00534BC3"/>
    <w:rsid w:val="00544B43"/>
    <w:rsid w:val="005544F4"/>
    <w:rsid w:val="005602B2"/>
    <w:rsid w:val="00570521"/>
    <w:rsid w:val="00574D25"/>
    <w:rsid w:val="00580506"/>
    <w:rsid w:val="00584E80"/>
    <w:rsid w:val="00586722"/>
    <w:rsid w:val="0058743E"/>
    <w:rsid w:val="00595D2F"/>
    <w:rsid w:val="005A1246"/>
    <w:rsid w:val="005A2540"/>
    <w:rsid w:val="005B0EAE"/>
    <w:rsid w:val="005C243E"/>
    <w:rsid w:val="005D3849"/>
    <w:rsid w:val="005D6D6E"/>
    <w:rsid w:val="005E4F03"/>
    <w:rsid w:val="005F2BD1"/>
    <w:rsid w:val="005F7613"/>
    <w:rsid w:val="0061685E"/>
    <w:rsid w:val="00644DCD"/>
    <w:rsid w:val="006508AC"/>
    <w:rsid w:val="00671257"/>
    <w:rsid w:val="0068271C"/>
    <w:rsid w:val="006B42E6"/>
    <w:rsid w:val="006B7964"/>
    <w:rsid w:val="006D07DC"/>
    <w:rsid w:val="007065FA"/>
    <w:rsid w:val="00710227"/>
    <w:rsid w:val="0073412B"/>
    <w:rsid w:val="00736180"/>
    <w:rsid w:val="00737FD3"/>
    <w:rsid w:val="007422C5"/>
    <w:rsid w:val="0077687F"/>
    <w:rsid w:val="00792266"/>
    <w:rsid w:val="007A50E6"/>
    <w:rsid w:val="007B3568"/>
    <w:rsid w:val="007B76C3"/>
    <w:rsid w:val="007C59F8"/>
    <w:rsid w:val="00816484"/>
    <w:rsid w:val="00816DAE"/>
    <w:rsid w:val="00820332"/>
    <w:rsid w:val="0085138B"/>
    <w:rsid w:val="00873DD4"/>
    <w:rsid w:val="0087510A"/>
    <w:rsid w:val="0088362D"/>
    <w:rsid w:val="008B2E5B"/>
    <w:rsid w:val="008B7719"/>
    <w:rsid w:val="008C7635"/>
    <w:rsid w:val="008D10C9"/>
    <w:rsid w:val="008F08C3"/>
    <w:rsid w:val="008F3224"/>
    <w:rsid w:val="00900FB7"/>
    <w:rsid w:val="009216B0"/>
    <w:rsid w:val="009235F4"/>
    <w:rsid w:val="009A7356"/>
    <w:rsid w:val="009C456C"/>
    <w:rsid w:val="009D0826"/>
    <w:rsid w:val="009D409E"/>
    <w:rsid w:val="009F31BC"/>
    <w:rsid w:val="00A217A5"/>
    <w:rsid w:val="00A23E9F"/>
    <w:rsid w:val="00A4005A"/>
    <w:rsid w:val="00A43837"/>
    <w:rsid w:val="00A71A8F"/>
    <w:rsid w:val="00A73AC4"/>
    <w:rsid w:val="00A94AB4"/>
    <w:rsid w:val="00AD02EF"/>
    <w:rsid w:val="00AD33D5"/>
    <w:rsid w:val="00AE4FFF"/>
    <w:rsid w:val="00AE5EEC"/>
    <w:rsid w:val="00B00834"/>
    <w:rsid w:val="00B1303E"/>
    <w:rsid w:val="00B172EC"/>
    <w:rsid w:val="00B420DA"/>
    <w:rsid w:val="00B84EBC"/>
    <w:rsid w:val="00B952DE"/>
    <w:rsid w:val="00BA47A0"/>
    <w:rsid w:val="00BE35C8"/>
    <w:rsid w:val="00C07468"/>
    <w:rsid w:val="00C26380"/>
    <w:rsid w:val="00C27BD1"/>
    <w:rsid w:val="00C40073"/>
    <w:rsid w:val="00C404D4"/>
    <w:rsid w:val="00C4612B"/>
    <w:rsid w:val="00C642B8"/>
    <w:rsid w:val="00C8178F"/>
    <w:rsid w:val="00C905D1"/>
    <w:rsid w:val="00C96DD6"/>
    <w:rsid w:val="00CA4B4E"/>
    <w:rsid w:val="00CB348C"/>
    <w:rsid w:val="00CB55C6"/>
    <w:rsid w:val="00CC31F8"/>
    <w:rsid w:val="00CC7D32"/>
    <w:rsid w:val="00CF1847"/>
    <w:rsid w:val="00CF24E6"/>
    <w:rsid w:val="00D13A68"/>
    <w:rsid w:val="00D275B8"/>
    <w:rsid w:val="00D27CD6"/>
    <w:rsid w:val="00D415D8"/>
    <w:rsid w:val="00D43A0F"/>
    <w:rsid w:val="00D460CB"/>
    <w:rsid w:val="00D4613E"/>
    <w:rsid w:val="00D76AAF"/>
    <w:rsid w:val="00D841C1"/>
    <w:rsid w:val="00D91228"/>
    <w:rsid w:val="00DC7729"/>
    <w:rsid w:val="00DD2542"/>
    <w:rsid w:val="00DE7B08"/>
    <w:rsid w:val="00DF4307"/>
    <w:rsid w:val="00E114B6"/>
    <w:rsid w:val="00E136FA"/>
    <w:rsid w:val="00E13B9E"/>
    <w:rsid w:val="00E242AA"/>
    <w:rsid w:val="00E260FA"/>
    <w:rsid w:val="00E508A8"/>
    <w:rsid w:val="00E5384F"/>
    <w:rsid w:val="00E6287D"/>
    <w:rsid w:val="00E64007"/>
    <w:rsid w:val="00E65984"/>
    <w:rsid w:val="00E74613"/>
    <w:rsid w:val="00E8499A"/>
    <w:rsid w:val="00E95A06"/>
    <w:rsid w:val="00EA2428"/>
    <w:rsid w:val="00EB1F18"/>
    <w:rsid w:val="00EB3475"/>
    <w:rsid w:val="00EB50A9"/>
    <w:rsid w:val="00EC0910"/>
    <w:rsid w:val="00ED689B"/>
    <w:rsid w:val="00ED7E7B"/>
    <w:rsid w:val="00EE2B95"/>
    <w:rsid w:val="00EF4115"/>
    <w:rsid w:val="00F1485B"/>
    <w:rsid w:val="00F15F61"/>
    <w:rsid w:val="00F2104A"/>
    <w:rsid w:val="00F6034B"/>
    <w:rsid w:val="00F866B2"/>
    <w:rsid w:val="00FA3A3F"/>
    <w:rsid w:val="00FC6836"/>
    <w:rsid w:val="00FD0360"/>
    <w:rsid w:val="00FD1561"/>
    <w:rsid w:val="00FD7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49B203"/>
  <w15:docId w15:val="{FA49D5E7-E573-4253-9E66-095FE2E2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262" w:line="249" w:lineRule="auto"/>
      <w:ind w:left="10" w:hanging="10"/>
      <w:jc w:val="both"/>
      <w:outlineLvl w:val="0"/>
    </w:pPr>
    <w:rPr>
      <w:rFonts w:ascii="Calibri" w:eastAsia="Calibri" w:hAnsi="Calibri" w:cs="Calibri"/>
      <w:b/>
      <w:color w:val="000000"/>
      <w:u w:val="single" w:color="000000"/>
    </w:rPr>
  </w:style>
  <w:style w:type="paragraph" w:styleId="Nadpis2">
    <w:name w:val="heading 2"/>
    <w:next w:val="Normln"/>
    <w:link w:val="Nadpis2Char"/>
    <w:uiPriority w:val="9"/>
    <w:unhideWhenUsed/>
    <w:qFormat/>
    <w:pPr>
      <w:keepNext/>
      <w:keepLines/>
      <w:spacing w:after="64" w:line="249" w:lineRule="auto"/>
      <w:ind w:left="10" w:hanging="10"/>
      <w:outlineLvl w:val="1"/>
    </w:pPr>
    <w:rPr>
      <w:rFonts w:ascii="Palatino Linotype" w:eastAsia="Palatino Linotype" w:hAnsi="Palatino Linotype" w:cs="Palatino Linotype"/>
      <w:b/>
      <w:color w:val="000000"/>
      <w:u w:val="single" w:color="000000"/>
    </w:rPr>
  </w:style>
  <w:style w:type="paragraph" w:styleId="Nadpis3">
    <w:name w:val="heading 3"/>
    <w:next w:val="Normln"/>
    <w:link w:val="Nadpis3Char"/>
    <w:uiPriority w:val="9"/>
    <w:unhideWhenUsed/>
    <w:qFormat/>
    <w:pPr>
      <w:keepNext/>
      <w:keepLines/>
      <w:spacing w:after="64" w:line="249" w:lineRule="auto"/>
      <w:ind w:left="10" w:right="549" w:hanging="10"/>
      <w:jc w:val="both"/>
      <w:outlineLvl w:val="2"/>
    </w:pPr>
    <w:rPr>
      <w:rFonts w:ascii="Palatino Linotype" w:eastAsia="Palatino Linotype" w:hAnsi="Palatino Linotype" w:cs="Palatino Linotype"/>
      <w:b/>
      <w:color w:val="000000"/>
    </w:rPr>
  </w:style>
  <w:style w:type="paragraph" w:styleId="Nadpis4">
    <w:name w:val="heading 4"/>
    <w:next w:val="Normln"/>
    <w:link w:val="Nadpis4Char"/>
    <w:uiPriority w:val="9"/>
    <w:unhideWhenUsed/>
    <w:qFormat/>
    <w:pPr>
      <w:keepNext/>
      <w:keepLines/>
      <w:spacing w:after="64" w:line="249" w:lineRule="auto"/>
      <w:ind w:left="10" w:right="549" w:hanging="10"/>
      <w:jc w:val="both"/>
      <w:outlineLvl w:val="3"/>
    </w:pPr>
    <w:rPr>
      <w:rFonts w:ascii="Palatino Linotype" w:eastAsia="Palatino Linotype" w:hAnsi="Palatino Linotype" w:cs="Palatino Linotype"/>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u w:val="single" w:color="000000"/>
    </w:rPr>
  </w:style>
  <w:style w:type="character" w:customStyle="1" w:styleId="Nadpis3Char">
    <w:name w:val="Nadpis 3 Char"/>
    <w:link w:val="Nadpis3"/>
    <w:rPr>
      <w:rFonts w:ascii="Palatino Linotype" w:eastAsia="Palatino Linotype" w:hAnsi="Palatino Linotype" w:cs="Palatino Linotype"/>
      <w:b/>
      <w:color w:val="000000"/>
      <w:sz w:val="22"/>
    </w:rPr>
  </w:style>
  <w:style w:type="character" w:customStyle="1" w:styleId="Nadpis2Char">
    <w:name w:val="Nadpis 2 Char"/>
    <w:link w:val="Nadpis2"/>
    <w:rPr>
      <w:rFonts w:ascii="Palatino Linotype" w:eastAsia="Palatino Linotype" w:hAnsi="Palatino Linotype" w:cs="Palatino Linotype"/>
      <w:b/>
      <w:color w:val="000000"/>
      <w:sz w:val="22"/>
      <w:u w:val="single" w:color="000000"/>
    </w:rPr>
  </w:style>
  <w:style w:type="paragraph" w:customStyle="1" w:styleId="footnotedescription">
    <w:name w:val="footnote description"/>
    <w:next w:val="Normln"/>
    <w:link w:val="footnotedescriptionChar"/>
    <w:hidden/>
    <w:pPr>
      <w:spacing w:after="222"/>
      <w:ind w:right="1"/>
    </w:pPr>
    <w:rPr>
      <w:rFonts w:ascii="Calibri" w:eastAsia="Calibri" w:hAnsi="Calibri" w:cs="Calibri"/>
      <w:color w:val="000000"/>
    </w:rPr>
  </w:style>
  <w:style w:type="character" w:customStyle="1" w:styleId="footnotedescriptionChar">
    <w:name w:val="footnote description Char"/>
    <w:link w:val="footnotedescription"/>
    <w:rPr>
      <w:rFonts w:ascii="Calibri" w:eastAsia="Calibri" w:hAnsi="Calibri" w:cs="Calibri"/>
      <w:color w:val="000000"/>
      <w:sz w:val="22"/>
    </w:rPr>
  </w:style>
  <w:style w:type="character" w:customStyle="1" w:styleId="Nadpis4Char">
    <w:name w:val="Nadpis 4 Char"/>
    <w:link w:val="Nadpis4"/>
    <w:rPr>
      <w:rFonts w:ascii="Palatino Linotype" w:eastAsia="Palatino Linotype" w:hAnsi="Palatino Linotype" w:cs="Palatino Linotype"/>
      <w:b/>
      <w:color w:val="000000"/>
      <w:sz w:val="22"/>
    </w:rPr>
  </w:style>
  <w:style w:type="character" w:customStyle="1" w:styleId="footnotemark">
    <w:name w:val="footnote mark"/>
    <w:hidden/>
    <w:rPr>
      <w:rFonts w:ascii="Calibri" w:eastAsia="Calibri" w:hAnsi="Calibri" w:cs="Calibri"/>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2560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6049"/>
    <w:rPr>
      <w:rFonts w:ascii="Calibri" w:eastAsia="Calibri" w:hAnsi="Calibri" w:cs="Calibri"/>
      <w:color w:val="000000"/>
    </w:rPr>
  </w:style>
  <w:style w:type="paragraph" w:styleId="Textbubliny">
    <w:name w:val="Balloon Text"/>
    <w:basedOn w:val="Normln"/>
    <w:link w:val="TextbublinyChar"/>
    <w:uiPriority w:val="99"/>
    <w:semiHidden/>
    <w:unhideWhenUsed/>
    <w:rsid w:val="00FC68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6836"/>
    <w:rPr>
      <w:rFonts w:ascii="Segoe UI" w:eastAsia="Calibri" w:hAnsi="Segoe UI" w:cs="Segoe UI"/>
      <w:color w:val="000000"/>
      <w:sz w:val="18"/>
      <w:szCs w:val="18"/>
    </w:rPr>
  </w:style>
  <w:style w:type="paragraph" w:styleId="Odstavecseseznamem">
    <w:name w:val="List Paragraph"/>
    <w:basedOn w:val="Normln"/>
    <w:uiPriority w:val="34"/>
    <w:qFormat/>
    <w:rsid w:val="008B7719"/>
    <w:pPr>
      <w:ind w:left="720"/>
      <w:contextualSpacing/>
    </w:pPr>
  </w:style>
  <w:style w:type="paragraph" w:customStyle="1" w:styleId="Textodstavce">
    <w:name w:val="Text odstavce"/>
    <w:basedOn w:val="Normln"/>
    <w:rsid w:val="00FD0360"/>
    <w:pPr>
      <w:numPr>
        <w:numId w:val="26"/>
      </w:numPr>
      <w:tabs>
        <w:tab w:val="left" w:pos="851"/>
      </w:tabs>
      <w:spacing w:before="120" w:after="120" w:line="240" w:lineRule="auto"/>
      <w:jc w:val="both"/>
      <w:outlineLvl w:val="6"/>
    </w:pPr>
    <w:rPr>
      <w:rFonts w:ascii="Times New Roman" w:eastAsia="Times New Roman" w:hAnsi="Times New Roman" w:cs="Times New Roman"/>
      <w:color w:val="auto"/>
      <w:sz w:val="24"/>
      <w:szCs w:val="20"/>
    </w:rPr>
  </w:style>
  <w:style w:type="paragraph" w:customStyle="1" w:styleId="Textbodu">
    <w:name w:val="Text bodu"/>
    <w:basedOn w:val="Normln"/>
    <w:rsid w:val="00FD0360"/>
    <w:pPr>
      <w:numPr>
        <w:ilvl w:val="2"/>
        <w:numId w:val="26"/>
      </w:numPr>
      <w:spacing w:after="0" w:line="240" w:lineRule="auto"/>
      <w:jc w:val="both"/>
      <w:outlineLvl w:val="8"/>
    </w:pPr>
    <w:rPr>
      <w:rFonts w:ascii="Times New Roman" w:eastAsia="Times New Roman" w:hAnsi="Times New Roman" w:cs="Times New Roman"/>
      <w:color w:val="auto"/>
      <w:sz w:val="24"/>
      <w:szCs w:val="20"/>
    </w:rPr>
  </w:style>
  <w:style w:type="paragraph" w:customStyle="1" w:styleId="Textpsmene">
    <w:name w:val="Text písmene"/>
    <w:basedOn w:val="Normln"/>
    <w:rsid w:val="00FD0360"/>
    <w:pPr>
      <w:numPr>
        <w:ilvl w:val="1"/>
        <w:numId w:val="26"/>
      </w:numPr>
      <w:spacing w:after="0" w:line="240" w:lineRule="auto"/>
      <w:jc w:val="both"/>
      <w:outlineLvl w:val="7"/>
    </w:pPr>
    <w:rPr>
      <w:rFonts w:ascii="Times New Roman" w:eastAsia="Times New Roman" w:hAnsi="Times New Roman" w:cs="Times New Roman"/>
      <w:color w:val="auto"/>
      <w:sz w:val="24"/>
      <w:szCs w:val="20"/>
    </w:rPr>
  </w:style>
  <w:style w:type="paragraph" w:styleId="Zkladntextodsazen2">
    <w:name w:val="Body Text Indent 2"/>
    <w:basedOn w:val="Normln"/>
    <w:link w:val="Zkladntextodsazen2Char"/>
    <w:rsid w:val="00FD0360"/>
    <w:pPr>
      <w:autoSpaceDE w:val="0"/>
      <w:autoSpaceDN w:val="0"/>
      <w:spacing w:after="120" w:line="480" w:lineRule="auto"/>
      <w:ind w:left="283"/>
    </w:pPr>
    <w:rPr>
      <w:rFonts w:ascii="Times New Roman" w:eastAsia="Times New Roman" w:hAnsi="Times New Roman" w:cs="Times New Roman"/>
      <w:color w:val="auto"/>
      <w:sz w:val="20"/>
      <w:szCs w:val="20"/>
    </w:rPr>
  </w:style>
  <w:style w:type="character" w:customStyle="1" w:styleId="Zkladntextodsazen2Char">
    <w:name w:val="Základní text odsazený 2 Char"/>
    <w:basedOn w:val="Standardnpsmoodstavce"/>
    <w:link w:val="Zkladntextodsazen2"/>
    <w:rsid w:val="00FD0360"/>
    <w:rPr>
      <w:rFonts w:ascii="Times New Roman" w:eastAsia="Times New Roman" w:hAnsi="Times New Roman" w:cs="Times New Roman"/>
      <w:sz w:val="20"/>
      <w:szCs w:val="20"/>
    </w:rPr>
  </w:style>
  <w:style w:type="paragraph" w:styleId="Zpat">
    <w:name w:val="footer"/>
    <w:basedOn w:val="Normln"/>
    <w:link w:val="ZpatChar"/>
    <w:uiPriority w:val="99"/>
    <w:unhideWhenUsed/>
    <w:rsid w:val="00CC31F8"/>
    <w:pPr>
      <w:tabs>
        <w:tab w:val="center" w:pos="4536"/>
        <w:tab w:val="right" w:pos="9072"/>
      </w:tabs>
      <w:spacing w:after="0" w:line="240" w:lineRule="auto"/>
    </w:pPr>
  </w:style>
  <w:style w:type="character" w:customStyle="1" w:styleId="ZpatChar">
    <w:name w:val="Zápatí Char"/>
    <w:basedOn w:val="Standardnpsmoodstavce"/>
    <w:link w:val="Zpat"/>
    <w:uiPriority w:val="99"/>
    <w:rsid w:val="00CC31F8"/>
    <w:rPr>
      <w:rFonts w:ascii="Calibri" w:eastAsia="Calibri" w:hAnsi="Calibri" w:cs="Calibri"/>
      <w:color w:val="000000"/>
    </w:rPr>
  </w:style>
  <w:style w:type="paragraph" w:customStyle="1" w:styleId="1nadpis">
    <w:name w:val="1nadpis"/>
    <w:basedOn w:val="Normln"/>
    <w:qFormat/>
    <w:rsid w:val="00736180"/>
    <w:pPr>
      <w:keepNext/>
      <w:numPr>
        <w:numId w:val="42"/>
      </w:numPr>
      <w:pBdr>
        <w:top w:val="single" w:sz="4" w:space="1" w:color="auto"/>
        <w:left w:val="single" w:sz="4" w:space="4" w:color="auto"/>
        <w:bottom w:val="single" w:sz="4" w:space="1" w:color="auto"/>
        <w:right w:val="single" w:sz="4" w:space="4" w:color="auto"/>
      </w:pBdr>
      <w:spacing w:before="520" w:after="260" w:line="240" w:lineRule="auto"/>
      <w:jc w:val="both"/>
      <w:outlineLvl w:val="0"/>
    </w:pPr>
    <w:rPr>
      <w:rFonts w:eastAsia="Times New Roman" w:cs="Times New Roman"/>
      <w:b/>
      <w:bCs/>
      <w:color w:val="auto"/>
      <w:kern w:val="32"/>
      <w:sz w:val="28"/>
      <w:szCs w:val="28"/>
      <w:lang w:eastAsia="en-US"/>
    </w:rPr>
  </w:style>
  <w:style w:type="paragraph" w:customStyle="1" w:styleId="2sltext">
    <w:name w:val="2čísl.text"/>
    <w:basedOn w:val="Zkladntext"/>
    <w:qFormat/>
    <w:rsid w:val="00736180"/>
    <w:pPr>
      <w:numPr>
        <w:ilvl w:val="1"/>
        <w:numId w:val="42"/>
      </w:numPr>
      <w:tabs>
        <w:tab w:val="num" w:pos="360"/>
      </w:tabs>
      <w:spacing w:before="240" w:after="240" w:line="240" w:lineRule="auto"/>
      <w:ind w:left="1080"/>
      <w:jc w:val="both"/>
    </w:pPr>
    <w:rPr>
      <w:rFonts w:eastAsia="Times New Roman" w:cs="Times New Roman"/>
      <w:color w:val="auto"/>
      <w:lang w:eastAsia="en-US"/>
    </w:rPr>
  </w:style>
  <w:style w:type="paragraph" w:customStyle="1" w:styleId="2nesltext">
    <w:name w:val="2nečísl.text"/>
    <w:basedOn w:val="Normln"/>
    <w:qFormat/>
    <w:rsid w:val="00736180"/>
    <w:pPr>
      <w:spacing w:before="120" w:after="240" w:line="240" w:lineRule="auto"/>
      <w:jc w:val="both"/>
    </w:pPr>
    <w:rPr>
      <w:rFonts w:cs="Times New Roman"/>
      <w:color w:val="auto"/>
      <w:lang w:eastAsia="en-US"/>
    </w:rPr>
  </w:style>
  <w:style w:type="paragraph" w:customStyle="1" w:styleId="3seznam">
    <w:name w:val="3seznam"/>
    <w:basedOn w:val="Normln"/>
    <w:qFormat/>
    <w:rsid w:val="00736180"/>
    <w:pPr>
      <w:numPr>
        <w:ilvl w:val="2"/>
        <w:numId w:val="42"/>
      </w:numPr>
      <w:spacing w:before="120" w:after="120" w:line="240" w:lineRule="auto"/>
      <w:jc w:val="both"/>
    </w:pPr>
    <w:rPr>
      <w:rFonts w:cs="Times New Roman"/>
      <w:color w:val="auto"/>
      <w:lang w:eastAsia="en-US"/>
    </w:rPr>
  </w:style>
  <w:style w:type="paragraph" w:customStyle="1" w:styleId="4seznam">
    <w:name w:val="4seznam"/>
    <w:basedOn w:val="Normln"/>
    <w:qFormat/>
    <w:rsid w:val="00736180"/>
    <w:pPr>
      <w:numPr>
        <w:ilvl w:val="3"/>
        <w:numId w:val="42"/>
      </w:numPr>
      <w:spacing w:after="260" w:line="240" w:lineRule="auto"/>
      <w:contextualSpacing/>
      <w:jc w:val="both"/>
    </w:pPr>
    <w:rPr>
      <w:rFonts w:cs="Times New Roman"/>
      <w:iCs/>
      <w:color w:val="auto"/>
      <w:lang w:eastAsia="en-US"/>
    </w:rPr>
  </w:style>
  <w:style w:type="paragraph" w:styleId="Zkladntext">
    <w:name w:val="Body Text"/>
    <w:basedOn w:val="Normln"/>
    <w:link w:val="ZkladntextChar"/>
    <w:uiPriority w:val="99"/>
    <w:semiHidden/>
    <w:unhideWhenUsed/>
    <w:rsid w:val="00736180"/>
    <w:pPr>
      <w:spacing w:after="120"/>
    </w:pPr>
  </w:style>
  <w:style w:type="character" w:customStyle="1" w:styleId="ZkladntextChar">
    <w:name w:val="Základní text Char"/>
    <w:basedOn w:val="Standardnpsmoodstavce"/>
    <w:link w:val="Zkladntext"/>
    <w:uiPriority w:val="99"/>
    <w:semiHidden/>
    <w:rsid w:val="00736180"/>
    <w:rPr>
      <w:rFonts w:ascii="Calibri" w:eastAsia="Calibri" w:hAnsi="Calibri" w:cs="Calibri"/>
      <w:color w:val="000000"/>
    </w:rPr>
  </w:style>
  <w:style w:type="character" w:styleId="Hypertextovodkaz">
    <w:name w:val="Hyperlink"/>
    <w:basedOn w:val="Standardnpsmoodstavce"/>
    <w:uiPriority w:val="99"/>
    <w:unhideWhenUsed/>
    <w:rsid w:val="00792266"/>
    <w:rPr>
      <w:color w:val="0563C1" w:themeColor="hyperlink"/>
      <w:u w:val="single"/>
    </w:rPr>
  </w:style>
  <w:style w:type="character" w:styleId="Sledovanodkaz">
    <w:name w:val="FollowedHyperlink"/>
    <w:basedOn w:val="Standardnpsmoodstavce"/>
    <w:uiPriority w:val="99"/>
    <w:semiHidden/>
    <w:unhideWhenUsed/>
    <w:rsid w:val="007922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0132">
      <w:bodyDiv w:val="1"/>
      <w:marLeft w:val="0"/>
      <w:marRight w:val="0"/>
      <w:marTop w:val="0"/>
      <w:marBottom w:val="0"/>
      <w:divBdr>
        <w:top w:val="none" w:sz="0" w:space="0" w:color="auto"/>
        <w:left w:val="none" w:sz="0" w:space="0" w:color="auto"/>
        <w:bottom w:val="none" w:sz="0" w:space="0" w:color="auto"/>
        <w:right w:val="none" w:sz="0" w:space="0" w:color="auto"/>
      </w:divBdr>
    </w:div>
    <w:div w:id="549847677">
      <w:bodyDiv w:val="1"/>
      <w:marLeft w:val="0"/>
      <w:marRight w:val="0"/>
      <w:marTop w:val="0"/>
      <w:marBottom w:val="0"/>
      <w:divBdr>
        <w:top w:val="none" w:sz="0" w:space="0" w:color="auto"/>
        <w:left w:val="none" w:sz="0" w:space="0" w:color="auto"/>
        <w:bottom w:val="none" w:sz="0" w:space="0" w:color="auto"/>
        <w:right w:val="none" w:sz="0" w:space="0" w:color="auto"/>
      </w:divBdr>
    </w:div>
    <w:div w:id="1369256231">
      <w:bodyDiv w:val="1"/>
      <w:marLeft w:val="0"/>
      <w:marRight w:val="0"/>
      <w:marTop w:val="0"/>
      <w:marBottom w:val="0"/>
      <w:divBdr>
        <w:top w:val="none" w:sz="0" w:space="0" w:color="auto"/>
        <w:left w:val="none" w:sz="0" w:space="0" w:color="auto"/>
        <w:bottom w:val="none" w:sz="0" w:space="0" w:color="auto"/>
        <w:right w:val="none" w:sz="0" w:space="0" w:color="auto"/>
      </w:divBdr>
    </w:div>
    <w:div w:id="1627276529">
      <w:bodyDiv w:val="1"/>
      <w:marLeft w:val="0"/>
      <w:marRight w:val="0"/>
      <w:marTop w:val="0"/>
      <w:marBottom w:val="0"/>
      <w:divBdr>
        <w:top w:val="none" w:sz="0" w:space="0" w:color="auto"/>
        <w:left w:val="none" w:sz="0" w:space="0" w:color="auto"/>
        <w:bottom w:val="none" w:sz="0" w:space="0" w:color="auto"/>
        <w:right w:val="none" w:sz="0" w:space="0" w:color="auto"/>
      </w:divBdr>
    </w:div>
    <w:div w:id="1983848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trava.cz/cs" TargetMode="Externa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tum.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atu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E25F-7D00-4660-9B2A-FDC7982F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17</Pages>
  <Words>6189</Words>
  <Characters>36520</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42624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Dunajová</dc:creator>
  <cp:lastModifiedBy>Darja Dunajová</cp:lastModifiedBy>
  <cp:revision>12</cp:revision>
  <cp:lastPrinted>2018-04-30T11:06:00Z</cp:lastPrinted>
  <dcterms:created xsi:type="dcterms:W3CDTF">2018-05-29T07:02:00Z</dcterms:created>
  <dcterms:modified xsi:type="dcterms:W3CDTF">2018-06-05T11:03:00Z</dcterms:modified>
</cp:coreProperties>
</file>