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 xml:space="preserve">Příloha č. </w:t>
      </w:r>
      <w:r w:rsidR="00030C84">
        <w:rPr>
          <w:rFonts w:ascii="Arial" w:hAnsi="Arial" w:cs="Arial"/>
          <w:b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030C84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030C84">
        <w:rPr>
          <w:rFonts w:ascii="Arial" w:hAnsi="Arial" w:cs="Arial"/>
          <w:b/>
          <w:sz w:val="16"/>
          <w:szCs w:val="16"/>
        </w:rPr>
      </w:r>
      <w:r w:rsidR="00030C84">
        <w:rPr>
          <w:rFonts w:ascii="Arial" w:hAnsi="Arial" w:cs="Arial"/>
          <w:b/>
          <w:sz w:val="16"/>
          <w:szCs w:val="16"/>
        </w:rPr>
        <w:fldChar w:fldCharType="separate"/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5D42B3">
        <w:rPr>
          <w:rFonts w:ascii="Arial" w:hAnsi="Arial" w:cs="Arial"/>
          <w:b/>
          <w:sz w:val="16"/>
          <w:szCs w:val="16"/>
        </w:rPr>
        <w:t xml:space="preserve"> – Vzorový návrh smlouvy pro sdružené služby dodávky zemního plynu – maloodběr</w:t>
      </w:r>
    </w:p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59194D" w:rsidRPr="005D42B3" w:rsidRDefault="00C62D67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62D67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2D67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C62D67">
        <w:rPr>
          <w:rFonts w:ascii="Arial" w:hAnsi="Arial" w:cs="Arial"/>
          <w:b/>
          <w:sz w:val="16"/>
          <w:szCs w:val="16"/>
        </w:rPr>
      </w:r>
      <w:r w:rsidRPr="00C62D67">
        <w:rPr>
          <w:rFonts w:ascii="Arial" w:hAnsi="Arial" w:cs="Arial"/>
          <w:b/>
          <w:sz w:val="16"/>
          <w:szCs w:val="16"/>
        </w:rPr>
        <w:fldChar w:fldCharType="separate"/>
      </w:r>
      <w:r w:rsidRPr="00C62D67">
        <w:rPr>
          <w:rFonts w:ascii="Arial" w:hAnsi="Arial" w:cs="Arial"/>
          <w:b/>
          <w:noProof/>
          <w:sz w:val="16"/>
          <w:szCs w:val="16"/>
        </w:rPr>
        <w:t>(nzev dodavatele)</w:t>
      </w:r>
      <w:r w:rsidRPr="00C62D67">
        <w:rPr>
          <w:rFonts w:ascii="Arial" w:hAnsi="Arial" w:cs="Arial"/>
          <w:b/>
          <w:sz w:val="16"/>
          <w:szCs w:val="16"/>
        </w:rPr>
        <w:fldChar w:fldCharType="end"/>
      </w:r>
      <w:bookmarkEnd w:id="1"/>
      <w:r w:rsidR="0059194D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 w:rsidR="0059194D"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3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4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5"/>
      <w:r w:rsidR="00C62D67">
        <w:rPr>
          <w:rFonts w:ascii="Arial" w:hAnsi="Arial" w:cs="Arial"/>
          <w:sz w:val="16"/>
          <w:szCs w:val="16"/>
        </w:rPr>
        <w:t>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6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7"/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8"/>
      <w:r w:rsidRPr="005D42B3">
        <w:rPr>
          <w:rFonts w:ascii="Arial" w:hAnsi="Arial" w:cs="Arial"/>
          <w:sz w:val="16"/>
          <w:szCs w:val="16"/>
        </w:rPr>
        <w:t xml:space="preserve"> (na základě plné moci). 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9"/>
      <w:r w:rsidRPr="005D42B3">
        <w:rPr>
          <w:rFonts w:ascii="Arial" w:hAnsi="Arial" w:cs="Arial"/>
          <w:sz w:val="16"/>
          <w:szCs w:val="16"/>
        </w:rPr>
        <w:t xml:space="preserve">, pobočka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0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62D67">
        <w:rPr>
          <w:rFonts w:ascii="Arial" w:hAnsi="Arial" w:cs="Arial"/>
          <w:bCs/>
          <w:sz w:val="16"/>
          <w:szCs w:val="16"/>
          <w:lang w:val="pl-PL"/>
        </w:rPr>
        <w:instrText xml:space="preserve"> FORMTEXT </w:instrText>
      </w:r>
      <w:r w:rsidR="00C62D67">
        <w:rPr>
          <w:rFonts w:ascii="Arial" w:hAnsi="Arial" w:cs="Arial"/>
          <w:bCs/>
          <w:sz w:val="16"/>
          <w:szCs w:val="16"/>
          <w:lang w:val="pl-PL"/>
        </w:rPr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separate"/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end"/>
      </w:r>
      <w:bookmarkEnd w:id="11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„dodavatel“</w:t>
      </w:r>
      <w:r w:rsidR="000977E6">
        <w:rPr>
          <w:rFonts w:ascii="Arial" w:hAnsi="Arial" w:cs="Arial"/>
          <w:b/>
          <w:sz w:val="16"/>
          <w:szCs w:val="16"/>
        </w:rPr>
        <w:t xml:space="preserve"> nebo „zadavatel“</w:t>
      </w:r>
      <w:r w:rsidRPr="005D42B3">
        <w:rPr>
          <w:rFonts w:ascii="Arial" w:hAnsi="Arial" w:cs="Arial"/>
          <w:b/>
          <w:sz w:val="16"/>
          <w:szCs w:val="16"/>
        </w:rPr>
        <w:t>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a</w:t>
      </w:r>
    </w:p>
    <w:p w:rsidR="0059194D" w:rsidRPr="005D42B3" w:rsidRDefault="00C62D67" w:rsidP="0059194D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5D42B3">
        <w:rPr>
          <w:rFonts w:ascii="Arial" w:hAnsi="Arial" w:cs="Arial"/>
          <w:b/>
          <w:sz w:val="16"/>
          <w:szCs w:val="16"/>
        </w:rPr>
        <w:t>(název zadavatele)</w:t>
      </w:r>
      <w:r>
        <w:rPr>
          <w:rFonts w:ascii="Arial" w:hAnsi="Arial" w:cs="Arial"/>
          <w:sz w:val="16"/>
          <w:szCs w:val="16"/>
        </w:rPr>
        <w:fldChar w:fldCharType="end"/>
      </w:r>
      <w:bookmarkEnd w:id="12"/>
      <w:r w:rsidR="0059194D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 w:rsidR="0059194D" w:rsidRPr="005D42B3">
        <w:rPr>
          <w:rFonts w:ascii="Arial" w:hAnsi="Arial" w:cs="Arial"/>
          <w:sz w:val="16"/>
          <w:szCs w:val="16"/>
        </w:rPr>
        <w:t>,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bookmarkStart w:id="15" w:name="_GoBack"/>
      <w:bookmarkEnd w:id="15"/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4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6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7"/>
      <w:r w:rsidRPr="005D42B3">
        <w:rPr>
          <w:rFonts w:ascii="Arial" w:hAnsi="Arial" w:cs="Arial"/>
          <w:sz w:val="16"/>
          <w:szCs w:val="16"/>
        </w:rPr>
        <w:t xml:space="preserve">, 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8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9"/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20"/>
      <w:r w:rsidR="00C62D67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>(na základě plné moci).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21"/>
      <w:r w:rsidRPr="005D42B3">
        <w:rPr>
          <w:rFonts w:ascii="Arial" w:hAnsi="Arial" w:cs="Arial"/>
          <w:sz w:val="16"/>
          <w:szCs w:val="16"/>
        </w:rPr>
        <w:t>,</w:t>
      </w:r>
      <w:r w:rsidR="00C62D67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 xml:space="preserve">pobočka </w:t>
      </w:r>
      <w:r w:rsidR="0082633D">
        <w:rPr>
          <w:rFonts w:ascii="Arial" w:hAnsi="Arial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82633D">
        <w:rPr>
          <w:rFonts w:ascii="Arial" w:hAnsi="Arial" w:cs="Arial"/>
          <w:sz w:val="16"/>
          <w:szCs w:val="16"/>
        </w:rPr>
        <w:instrText xml:space="preserve"> FORMTEXT </w:instrText>
      </w:r>
      <w:r w:rsidR="0082633D">
        <w:rPr>
          <w:rFonts w:ascii="Arial" w:hAnsi="Arial" w:cs="Arial"/>
          <w:sz w:val="16"/>
          <w:szCs w:val="16"/>
        </w:rPr>
      </w:r>
      <w:r w:rsidR="0082633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sz w:val="16"/>
          <w:szCs w:val="16"/>
        </w:rPr>
        <w:fldChar w:fldCharType="end"/>
      </w:r>
      <w:bookmarkEnd w:id="22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82633D"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82633D">
        <w:rPr>
          <w:rFonts w:ascii="Arial" w:hAnsi="Arial" w:cs="Arial"/>
          <w:sz w:val="16"/>
          <w:szCs w:val="16"/>
        </w:rPr>
        <w:instrText xml:space="preserve"> FORMTEXT </w:instrText>
      </w:r>
      <w:r w:rsidR="0082633D">
        <w:rPr>
          <w:rFonts w:ascii="Arial" w:hAnsi="Arial" w:cs="Arial"/>
          <w:sz w:val="16"/>
          <w:szCs w:val="16"/>
        </w:rPr>
      </w:r>
      <w:r w:rsidR="0082633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sz w:val="16"/>
          <w:szCs w:val="16"/>
        </w:rPr>
        <w:fldChar w:fldCharType="end"/>
      </w:r>
      <w:bookmarkEnd w:id="23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„odběratel“)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C35CC7">
        <w:rPr>
          <w:rFonts w:ascii="Arial" w:hAnsi="Arial" w:cs="Arial"/>
          <w:sz w:val="16"/>
          <w:szCs w:val="16"/>
        </w:rPr>
        <w:t xml:space="preserve">podle </w:t>
      </w:r>
      <w:r w:rsidR="008D60B2" w:rsidRPr="00C35CC7">
        <w:rPr>
          <w:rFonts w:ascii="Arial" w:hAnsi="Arial" w:cs="Arial"/>
          <w:sz w:val="16"/>
          <w:szCs w:val="16"/>
        </w:rPr>
        <w:t>zákona č. č. 89/2012 Sb., občanský zákoník</w:t>
      </w:r>
      <w:r w:rsidRPr="00C35CC7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Pr="00826DAD" w:rsidRDefault="0059194D" w:rsidP="00826DAD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Předmětem Smlouvy je</w:t>
      </w:r>
      <w:r w:rsidR="000977E6">
        <w:rPr>
          <w:rFonts w:ascii="Arial" w:hAnsi="Arial" w:cs="Arial"/>
          <w:sz w:val="16"/>
          <w:szCs w:val="16"/>
        </w:rPr>
        <w:t xml:space="preserve"> závazek Dodavatele poskytnout Odběrateli</w:t>
      </w:r>
      <w:r w:rsidRPr="00826DAD">
        <w:rPr>
          <w:rFonts w:ascii="Arial" w:hAnsi="Arial" w:cs="Arial"/>
          <w:sz w:val="16"/>
          <w:szCs w:val="16"/>
        </w:rPr>
        <w:t xml:space="preserve"> sdružené služby dodávky plynu dle zákona 458/2000 Sb. v platném znění a závazek Zákazníka za tyto služby uhradit Dodavateli řádně a včas dohodnutou platbu. Podmínky dodávky plynu a další vzájemná práva a povinnosti smluvních stran upravují Všeobecné obchodní podmínky dodávky plynu Dodavatele číslo </w:t>
      </w:r>
      <w:r w:rsidR="0082633D" w:rsidRPr="00826DAD"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82633D" w:rsidRPr="00826DAD">
        <w:rPr>
          <w:rFonts w:ascii="Arial" w:hAnsi="Arial" w:cs="Arial"/>
          <w:sz w:val="16"/>
          <w:szCs w:val="16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</w:rPr>
      </w:r>
      <w:r w:rsidR="0082633D" w:rsidRPr="00826DA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 w:rsidRPr="00826DAD">
        <w:rPr>
          <w:rFonts w:ascii="Arial" w:hAnsi="Arial" w:cs="Arial"/>
          <w:sz w:val="16"/>
          <w:szCs w:val="16"/>
        </w:rPr>
        <w:fldChar w:fldCharType="end"/>
      </w:r>
      <w:bookmarkEnd w:id="24"/>
      <w:r w:rsidRPr="00826DAD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 w:rsidRPr="00826DAD">
        <w:rPr>
          <w:rFonts w:ascii="Arial" w:hAnsi="Arial" w:cs="Arial"/>
          <w:sz w:val="16"/>
          <w:szCs w:val="16"/>
        </w:rPr>
        <w:t xml:space="preserve"> Ustanovení</w:t>
      </w:r>
      <w:r w:rsidR="005329F0" w:rsidRPr="00826DAD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Pr="005D42B3" w:rsidRDefault="0059194D" w:rsidP="00826DAD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089"/>
      </w:tblGrid>
      <w:tr w:rsidR="005C28D0" w:rsidRPr="005D42B3" w:rsidTr="00C62D67">
        <w:trPr>
          <w:trHeight w:val="421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(Kč/MWh)</w:t>
            </w:r>
          </w:p>
        </w:tc>
      </w:tr>
      <w:tr w:rsidR="005C28D0" w:rsidRPr="005D42B3" w:rsidTr="00C62D67">
        <w:trPr>
          <w:trHeight w:val="253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:rsidTr="00C62D67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</w:tbl>
    <w:p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Ceny jsou </w:t>
      </w:r>
      <w:r w:rsidR="00CA412D" w:rsidRPr="00826DAD">
        <w:rPr>
          <w:rFonts w:ascii="Arial" w:hAnsi="Arial" w:cs="Arial"/>
          <w:sz w:val="16"/>
          <w:szCs w:val="16"/>
        </w:rPr>
        <w:t>uvedeny bez DPH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Pro odběrné místo s ročním odběrem nad 63 000 kWh se měsíční platba za kapacitní složku ceny určí podle vzorce: MPrd = (Crd × RK) / 12, kde Crd = součet cen za přidělenou kapacitu dle Ceníku, RK = denní přidělená pevná kapacita v daném OM v </w:t>
      </w:r>
      <w:r w:rsidR="00CA412D" w:rsidRPr="00826DAD">
        <w:rPr>
          <w:rFonts w:ascii="Arial" w:hAnsi="Arial" w:cs="Arial"/>
          <w:sz w:val="16"/>
          <w:szCs w:val="16"/>
        </w:rPr>
        <w:t>m</w:t>
      </w:r>
      <w:r w:rsidR="00CA412D"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Pr="00826DAD">
        <w:rPr>
          <w:rFonts w:ascii="Arial" w:hAnsi="Arial" w:cs="Arial"/>
          <w:sz w:val="16"/>
          <w:szCs w:val="16"/>
        </w:rPr>
        <w:t xml:space="preserve"> určená podle vzorce RK = RS / 110, kde RS je roční odběr v daném OM v m</w:t>
      </w:r>
      <w:r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="005C28D0" w:rsidRPr="00826DAD">
        <w:rPr>
          <w:rFonts w:ascii="Arial" w:hAnsi="Arial" w:cs="Arial"/>
          <w:sz w:val="16"/>
          <w:szCs w:val="16"/>
        </w:rPr>
        <w:t>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tabs>
          <w:tab w:val="left" w:pos="2552"/>
        </w:tabs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Faktury: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</w:p>
    <w:p w:rsidR="005C28D0" w:rsidRPr="005D42B3" w:rsidRDefault="0059194D" w:rsidP="00826DAD">
      <w:pPr>
        <w:tabs>
          <w:tab w:val="left" w:pos="2552"/>
        </w:tabs>
        <w:spacing w:after="0"/>
        <w:ind w:left="1418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Zálohy: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spacing w:after="0"/>
        <w:ind w:left="993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zákazníka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Default="005C28D0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:rsidR="002A58FC" w:rsidRDefault="002A58FC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</w:p>
    <w:p w:rsidR="005254E0" w:rsidRPr="00826DAD" w:rsidRDefault="005254E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826DAD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826DAD">
        <w:rPr>
          <w:rFonts w:ascii="Arial" w:hAnsi="Arial" w:cs="Arial"/>
          <w:sz w:val="16"/>
          <w:szCs w:val="16"/>
        </w:rPr>
        <w:t xml:space="preserve"> za všechna jeho odběrná místa </w:t>
      </w:r>
      <w:r w:rsidRPr="00826DAD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Odběratel na základě platebního kalendáře - daňového dokladu uhradí dodavateli měsíční zálohu k 15. dni příslušného kalendářního měsíce, a to ve výši 1/12 z předpokládané výše roční platby včetně DPH. 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Dodavatel je povinen provést celkové vyúčtování služeb a dodávek sdružených služeb dodávky zemního plynu (s vyúčtováním přeplatku a či nedoplatku) odběrateli ve formě tzv. zúčtovací faktury nejpozději do 20 kalendářních dnů po ukončení fakturačního období, stanoveného </w:t>
      </w:r>
      <w:r w:rsidRPr="00826DAD">
        <w:rPr>
          <w:rFonts w:ascii="Arial" w:hAnsi="Arial" w:cs="Arial"/>
          <w:bCs/>
          <w:sz w:val="16"/>
          <w:szCs w:val="16"/>
        </w:rPr>
        <w:lastRenderedPageBreak/>
        <w:t xml:space="preserve">dodavatelem dle platných předpisů nebo při ukončení smluvního vztahu, jakož i v případě přerušení dodávky zemního plynu, se zúčtováním řádně zaplacených zálohových faktur. 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V případě vzniku přeplatku zákazníka na konci kalendářního roku (v měsíci prosinci) bude dodavatel vždy tento přeplatek vracet na bankovní účet zákazníka a dodavatel se zavazuje, že nebude tento přeplatek zúčtovávat jako zálohovou platbu zákazníka.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daňového dokladu ve smyslu zákona o dani z přidané hodnoty.</w:t>
      </w:r>
    </w:p>
    <w:p w:rsidR="00CA412D" w:rsidRPr="00826DAD" w:rsidRDefault="00CA412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V případě prodlení dodavatele s vystavením zúčtovací faktury ve lhůtě či s uhrazením přeplatku ve lhůtě </w:t>
      </w:r>
      <w:r w:rsidR="000977E6">
        <w:rPr>
          <w:rFonts w:ascii="Arial" w:hAnsi="Arial" w:cs="Arial"/>
          <w:bCs/>
          <w:sz w:val="16"/>
          <w:szCs w:val="16"/>
        </w:rPr>
        <w:t>s</w:t>
      </w:r>
      <w:r w:rsidRPr="00826DAD">
        <w:rPr>
          <w:rFonts w:ascii="Arial" w:hAnsi="Arial" w:cs="Arial"/>
          <w:bCs/>
          <w:sz w:val="16"/>
          <w:szCs w:val="16"/>
        </w:rPr>
        <w:t xml:space="preserve">platnosti se dodavatel zavazuje zaplatit odběrateli smluvní pokutu ve výši 200 Kč za každé dotčené odběrné místo a každý den prodlení. Zaplacením smluvní pokuty není dotčeno právo odběratele požadovat náhradu škody způsobené porušením povinnosti, na kterou se smluvní pokuta vztahuje, a to </w:t>
      </w:r>
      <w:r w:rsidR="000977E6">
        <w:rPr>
          <w:rFonts w:ascii="Arial" w:hAnsi="Arial" w:cs="Arial"/>
          <w:bCs/>
          <w:sz w:val="16"/>
          <w:szCs w:val="16"/>
        </w:rPr>
        <w:t>v plné výši</w:t>
      </w:r>
      <w:r w:rsidRPr="00826DAD">
        <w:rPr>
          <w:rFonts w:ascii="Arial" w:hAnsi="Arial" w:cs="Arial"/>
          <w:bCs/>
          <w:sz w:val="16"/>
          <w:szCs w:val="16"/>
        </w:rPr>
        <w:t>.</w:t>
      </w:r>
    </w:p>
    <w:p w:rsidR="005329F0" w:rsidRPr="00826DAD" w:rsidRDefault="005329F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826DAD">
        <w:rPr>
          <w:rFonts w:ascii="Arial" w:hAnsi="Arial" w:cs="Arial"/>
          <w:b/>
          <w:sz w:val="16"/>
          <w:szCs w:val="16"/>
        </w:rPr>
        <w:t>veškerá vyúčtování a fakturaci formou elektronických prostředků.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vyhrazuje právo, že může kdykoliv v průběhu trvání této smlouvy dodavateli písemně oznámit (v listinné podobě, elektronicky emailem), že požaduje u odběrného místa/odběrných míst měsíční platby za skutečný odběr, tzn. platby na základě samoodečtu. Změny v</w:t>
      </w:r>
      <w:r w:rsidR="0010441F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tomto případě budou platné od prvního dne následujícího měsíce následující po doručení žádosti zákazníka dodavateli.</w:t>
      </w:r>
    </w:p>
    <w:p w:rsidR="00B66AD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dále vyhrazuje právo, že může po dodavateli požadovat vč. souhrnné faktury také dílčí fakturu, a to vystavenou na každé jednotlivé odběrné místo zákazníka. V případě tohoto požadavku zákazník odešle požadavek dodavateli poštou nebo emailem.</w:t>
      </w:r>
    </w:p>
    <w:p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Smlouva nabývá účinnosti dnem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DC54DD">
        <w:rPr>
          <w:rFonts w:ascii="Arial" w:hAnsi="Arial" w:cs="Arial"/>
          <w:b/>
          <w:sz w:val="16"/>
          <w:szCs w:val="16"/>
        </w:rPr>
        <w:t>7</w:t>
      </w:r>
      <w:r w:rsidRPr="00826DAD">
        <w:rPr>
          <w:rFonts w:ascii="Arial" w:hAnsi="Arial" w:cs="Arial"/>
          <w:b/>
          <w:sz w:val="16"/>
          <w:szCs w:val="16"/>
        </w:rPr>
        <w:t xml:space="preserve"> 6:00 </w:t>
      </w:r>
      <w:r w:rsidRPr="00826DAD">
        <w:rPr>
          <w:rFonts w:ascii="Arial" w:hAnsi="Arial" w:cs="Arial"/>
          <w:sz w:val="16"/>
          <w:szCs w:val="16"/>
        </w:rPr>
        <w:t xml:space="preserve">hod a sjednává se na dobu určitou do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DC54DD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  <w:r w:rsidR="00725EED" w:rsidRPr="00826DAD">
        <w:rPr>
          <w:rFonts w:ascii="Arial" w:hAnsi="Arial" w:cs="Arial"/>
          <w:b/>
          <w:sz w:val="16"/>
          <w:szCs w:val="16"/>
        </w:rPr>
        <w:t>6:00</w:t>
      </w:r>
      <w:r w:rsidRPr="00826DAD">
        <w:rPr>
          <w:rFonts w:ascii="Arial" w:hAnsi="Arial" w:cs="Arial"/>
          <w:sz w:val="16"/>
          <w:szCs w:val="16"/>
        </w:rPr>
        <w:t xml:space="preserve"> hod</w:t>
      </w:r>
      <w:r w:rsidR="00D25643" w:rsidRPr="00826DAD">
        <w:rPr>
          <w:rFonts w:ascii="Arial" w:hAnsi="Arial" w:cs="Arial"/>
          <w:sz w:val="16"/>
          <w:szCs w:val="16"/>
        </w:rPr>
        <w:t>, bez možnosti automatického prodlužování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 w:rsidRPr="00826DAD">
        <w:rPr>
          <w:rFonts w:ascii="Arial" w:hAnsi="Arial" w:cs="Arial"/>
          <w:sz w:val="16"/>
          <w:szCs w:val="16"/>
        </w:rPr>
        <w:t xml:space="preserve"> </w:t>
      </w:r>
      <w:r w:rsidRPr="00826DAD">
        <w:rPr>
          <w:rFonts w:ascii="Arial" w:hAnsi="Arial" w:cs="Arial"/>
          <w:sz w:val="16"/>
          <w:szCs w:val="16"/>
        </w:rPr>
        <w:t>1. Specifikace odběrných míst.</w:t>
      </w:r>
    </w:p>
    <w:p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Příloze č. 1 této smlouvy.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V případech zrušení odběrného místa, zejména z důvodu 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odběrného místa, a to bez nároku na finanční kompenzaci ze strany dodavatele.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Doložka platnosti právního </w:t>
      </w:r>
      <w:r w:rsidR="000977E6">
        <w:rPr>
          <w:rFonts w:ascii="Arial" w:hAnsi="Arial" w:cs="Arial"/>
          <w:sz w:val="16"/>
          <w:szCs w:val="16"/>
        </w:rPr>
        <w:t>jednání</w:t>
      </w:r>
      <w:r w:rsidRPr="00826DAD">
        <w:rPr>
          <w:rFonts w:ascii="Arial" w:hAnsi="Arial" w:cs="Arial"/>
          <w:sz w:val="16"/>
          <w:szCs w:val="16"/>
        </w:rPr>
        <w:t xml:space="preserve"> dle § 41 zákona č. 128/2000 Sb., o obcích (obecní zřízení), ve znění pozdějších předpisů: O uzavření této smlouvy rozhodla </w:t>
      </w:r>
      <w:r w:rsidR="003E771E" w:rsidRPr="00826DAD">
        <w:rPr>
          <w:rFonts w:ascii="Arial" w:hAnsi="Arial" w:cs="Arial"/>
          <w:sz w:val="16"/>
          <w:szCs w:val="16"/>
        </w:rPr>
        <w:t>R</w:t>
      </w:r>
      <w:r w:rsidRPr="00826DAD">
        <w:rPr>
          <w:rFonts w:ascii="Arial" w:hAnsi="Arial" w:cs="Arial"/>
          <w:sz w:val="16"/>
          <w:szCs w:val="16"/>
        </w:rPr>
        <w:t>ada města</w:t>
      </w:r>
      <w:r w:rsidR="00844609" w:rsidRPr="00826DAD">
        <w:rPr>
          <w:rFonts w:ascii="Arial" w:hAnsi="Arial" w:cs="Arial"/>
          <w:sz w:val="16"/>
          <w:szCs w:val="16"/>
        </w:rPr>
        <w:t xml:space="preserve"> Ostravy</w:t>
      </w:r>
      <w:r w:rsidRPr="00826DAD">
        <w:rPr>
          <w:rFonts w:ascii="Arial" w:hAnsi="Arial" w:cs="Arial"/>
          <w:sz w:val="16"/>
          <w:szCs w:val="16"/>
        </w:rPr>
        <w:t xml:space="preserve"> svým usnesením č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25"/>
      <w:r w:rsidRPr="00826DAD">
        <w:rPr>
          <w:rFonts w:ascii="Arial" w:hAnsi="Arial" w:cs="Arial"/>
          <w:sz w:val="16"/>
          <w:szCs w:val="16"/>
        </w:rPr>
        <w:t xml:space="preserve"> z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dne</w:t>
      </w:r>
      <w:r w:rsidR="0082633D" w:rsidRPr="00826DAD">
        <w:rPr>
          <w:rFonts w:ascii="Arial" w:hAnsi="Arial" w:cs="Arial"/>
          <w:sz w:val="16"/>
          <w:szCs w:val="16"/>
        </w:rPr>
        <w:t xml:space="preserve"> 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26"/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</w:p>
    <w:p w:rsidR="00F309C5" w:rsidRPr="00826DAD" w:rsidRDefault="00F309C5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jménem a na účet zadavatele učinit veškeré potřebné právní kroky vedoucí k ukončení všech stávajících smluvních vztahů týkajících se </w:t>
      </w:r>
      <w:r w:rsidR="006D12B2">
        <w:rPr>
          <w:rFonts w:ascii="Arial" w:hAnsi="Arial" w:cs="Arial"/>
          <w:sz w:val="16"/>
          <w:szCs w:val="16"/>
        </w:rPr>
        <w:t xml:space="preserve">sdružených služeb </w:t>
      </w:r>
      <w:r w:rsidRPr="00826DAD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skončil dne 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201</w:t>
      </w:r>
      <w:r w:rsidR="00DC54DD">
        <w:rPr>
          <w:rFonts w:ascii="Arial" w:hAnsi="Arial" w:cs="Arial"/>
          <w:b/>
          <w:sz w:val="16"/>
          <w:szCs w:val="16"/>
        </w:rPr>
        <w:t>7</w:t>
      </w:r>
      <w:r w:rsidRPr="00826DAD">
        <w:rPr>
          <w:rFonts w:ascii="Arial" w:hAnsi="Arial" w:cs="Arial"/>
          <w:b/>
          <w:sz w:val="16"/>
          <w:szCs w:val="16"/>
        </w:rPr>
        <w:t xml:space="preserve"> do 6:00 hod.</w:t>
      </w:r>
      <w:r w:rsidRPr="00826DAD">
        <w:rPr>
          <w:rFonts w:ascii="Arial" w:hAnsi="Arial" w:cs="Arial"/>
          <w:sz w:val="16"/>
          <w:szCs w:val="16"/>
        </w:rPr>
        <w:t xml:space="preserve"> Podmínkou splnění povinnosti uvedené v tomto ustanovení bude vystavení písemného zplnomocnění ze strany </w:t>
      </w:r>
      <w:r w:rsidR="00956135">
        <w:rPr>
          <w:rFonts w:ascii="Arial" w:hAnsi="Arial" w:cs="Arial"/>
          <w:sz w:val="16"/>
          <w:szCs w:val="16"/>
        </w:rPr>
        <w:t>dodavatele</w:t>
      </w:r>
      <w:r w:rsidRPr="00826DAD">
        <w:rPr>
          <w:rFonts w:ascii="Arial" w:hAnsi="Arial" w:cs="Arial"/>
          <w:sz w:val="16"/>
          <w:szCs w:val="16"/>
        </w:rPr>
        <w:t>, a to neprodleně po podpisu této dodavatelské smlouvy.</w:t>
      </w:r>
    </w:p>
    <w:p w:rsidR="00826DAD" w:rsidRDefault="00826DA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bere na vědomí, že zákazník podléhá režimu zákona č. 106/1999 Sb., o svobodném přístupu k informacím v platném znění, a že je oprávněn obsah smlouvy a případných dodatků zveřejnit na svých internetových stránkách/profilu zadavatele.</w:t>
      </w:r>
    </w:p>
    <w:p w:rsidR="000977E6" w:rsidRPr="00826DAD" w:rsidRDefault="000977E6" w:rsidP="000977E6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977E6">
        <w:rPr>
          <w:rFonts w:ascii="Arial" w:hAnsi="Arial" w:cs="Arial"/>
          <w:sz w:val="16"/>
          <w:szCs w:val="16"/>
        </w:rPr>
        <w:t>Smluvní strany souhlasí, že tato smlouva, vč. příloh a dodatků, bude v plném rozsahu zveřejněna na internetových stránkách statutárního města Ostravy (www.ostrava.cz) a to po dobu časově neomezenou.</w:t>
      </w:r>
    </w:p>
    <w:p w:rsidR="00887B9B" w:rsidRPr="005D42B3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místa zákazníka </w:t>
      </w:r>
    </w:p>
    <w:p w:rsidR="0059194D" w:rsidRPr="005D42B3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</w:p>
    <w:p w:rsidR="00E97A06" w:rsidRPr="005D42B3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689"/>
        <w:gridCol w:w="3518"/>
      </w:tblGrid>
      <w:tr w:rsidR="00C3181E" w:rsidRPr="005D42B3" w:rsidTr="00F35F9A">
        <w:trPr>
          <w:trHeight w:val="91"/>
        </w:trPr>
        <w:tc>
          <w:tcPr>
            <w:tcW w:w="3519" w:type="dxa"/>
          </w:tcPr>
          <w:p w:rsidR="00C3181E" w:rsidRPr="005D42B3" w:rsidRDefault="00C3181E" w:rsidP="0082633D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7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8"/>
          </w:p>
        </w:tc>
        <w:tc>
          <w:tcPr>
            <w:tcW w:w="1689" w:type="dxa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C3181E" w:rsidRPr="005D42B3" w:rsidRDefault="00C3181E" w:rsidP="00F35F9A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9"/>
          </w:p>
        </w:tc>
      </w:tr>
      <w:tr w:rsidR="00C3181E" w:rsidRPr="005D42B3" w:rsidTr="000977E6">
        <w:trPr>
          <w:trHeight w:hRule="exact" w:val="547"/>
        </w:trPr>
        <w:tc>
          <w:tcPr>
            <w:tcW w:w="3519" w:type="dxa"/>
            <w:tcBorders>
              <w:bottom w:val="dotted" w:sz="4" w:space="0" w:color="auto"/>
            </w:tcBorders>
            <w:vAlign w:val="center"/>
          </w:tcPr>
          <w:p w:rsidR="0082633D" w:rsidRPr="005D42B3" w:rsidRDefault="0082633D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3181E" w:rsidRPr="005D42B3" w:rsidTr="00F35F9A">
        <w:trPr>
          <w:trHeight w:val="271"/>
        </w:trPr>
        <w:tc>
          <w:tcPr>
            <w:tcW w:w="3519" w:type="dxa"/>
            <w:tcBorders>
              <w:top w:val="dotted" w:sz="4" w:space="0" w:color="auto"/>
            </w:tcBorders>
          </w:tcPr>
          <w:p w:rsidR="00C3181E" w:rsidRPr="005D42B3" w:rsidRDefault="00C3181E" w:rsidP="00CA7F2C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30"/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C3181E" w:rsidRPr="005D42B3" w:rsidRDefault="00C3181E" w:rsidP="00CA7F2C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31"/>
          </w:p>
        </w:tc>
      </w:tr>
    </w:tbl>
    <w:p w:rsidR="005824A9" w:rsidRPr="00CA7F2C" w:rsidRDefault="005824A9" w:rsidP="00F35F9A">
      <w:pPr>
        <w:rPr>
          <w:rFonts w:ascii="Arial" w:hAnsi="Arial" w:cs="Arial"/>
          <w:sz w:val="2"/>
          <w:szCs w:val="2"/>
        </w:rPr>
      </w:pPr>
    </w:p>
    <w:sectPr w:rsidR="005824A9" w:rsidRPr="00CA7F2C" w:rsidSect="00887B9B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54" w:rsidRDefault="00FA4A54" w:rsidP="00FA4A54">
      <w:pPr>
        <w:spacing w:after="0" w:line="240" w:lineRule="auto"/>
      </w:pPr>
      <w:r>
        <w:separator/>
      </w:r>
    </w:p>
  </w:endnote>
  <w:endnote w:type="continuationSeparator" w:id="0">
    <w:p w:rsidR="00FA4A54" w:rsidRDefault="00FA4A54" w:rsidP="00F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54" w:rsidRPr="00C67390" w:rsidRDefault="00FA4A54" w:rsidP="00FA4A54">
    <w:pPr>
      <w:pStyle w:val="Zpat"/>
      <w:jc w:val="right"/>
      <w:rPr>
        <w:rFonts w:ascii="Arial" w:hAnsi="Arial" w:cs="Arial"/>
        <w:color w:val="A6A6A6"/>
        <w:sz w:val="12"/>
        <w:szCs w:val="16"/>
      </w:rPr>
    </w:pPr>
    <w:r w:rsidRPr="00C67390">
      <w:rPr>
        <w:rFonts w:ascii="Arial" w:hAnsi="Arial" w:cs="Arial"/>
        <w:color w:val="A6A6A6"/>
        <w:sz w:val="12"/>
        <w:szCs w:val="16"/>
      </w:rPr>
      <w:t xml:space="preserve">Strana </w:t>
    </w:r>
    <w:r w:rsidRPr="00C67390">
      <w:rPr>
        <w:rFonts w:ascii="Arial" w:hAnsi="Arial" w:cs="Arial"/>
        <w:color w:val="A6A6A6"/>
        <w:sz w:val="12"/>
        <w:szCs w:val="16"/>
      </w:rPr>
      <w:fldChar w:fldCharType="begin"/>
    </w:r>
    <w:r w:rsidRPr="00C67390">
      <w:rPr>
        <w:rFonts w:ascii="Arial" w:hAnsi="Arial" w:cs="Arial"/>
        <w:color w:val="A6A6A6"/>
        <w:sz w:val="12"/>
        <w:szCs w:val="16"/>
      </w:rPr>
      <w:instrText>PAGE  \* Arabic  \* MERGEFORMAT</w:instrText>
    </w:r>
    <w:r w:rsidRPr="00C67390">
      <w:rPr>
        <w:rFonts w:ascii="Arial" w:hAnsi="Arial" w:cs="Arial"/>
        <w:color w:val="A6A6A6"/>
        <w:sz w:val="12"/>
        <w:szCs w:val="16"/>
      </w:rPr>
      <w:fldChar w:fldCharType="separate"/>
    </w:r>
    <w:r w:rsidR="00981402">
      <w:rPr>
        <w:rFonts w:ascii="Arial" w:hAnsi="Arial" w:cs="Arial"/>
        <w:noProof/>
        <w:color w:val="A6A6A6"/>
        <w:sz w:val="12"/>
        <w:szCs w:val="16"/>
      </w:rPr>
      <w:t>1</w:t>
    </w:r>
    <w:r w:rsidRPr="00C67390">
      <w:rPr>
        <w:rFonts w:ascii="Arial" w:hAnsi="Arial" w:cs="Arial"/>
        <w:color w:val="A6A6A6"/>
        <w:sz w:val="12"/>
        <w:szCs w:val="16"/>
      </w:rPr>
      <w:fldChar w:fldCharType="end"/>
    </w:r>
    <w:r w:rsidRPr="00C67390">
      <w:rPr>
        <w:rFonts w:ascii="Arial" w:hAnsi="Arial" w:cs="Arial"/>
        <w:color w:val="A6A6A6"/>
        <w:sz w:val="12"/>
        <w:szCs w:val="16"/>
      </w:rPr>
      <w:t>/</w:t>
    </w:r>
    <w:r w:rsidRPr="00C67390">
      <w:rPr>
        <w:rFonts w:ascii="Arial" w:hAnsi="Arial" w:cs="Arial"/>
        <w:sz w:val="12"/>
        <w:szCs w:val="16"/>
      </w:rPr>
      <w:fldChar w:fldCharType="begin"/>
    </w:r>
    <w:r w:rsidRPr="00C67390">
      <w:rPr>
        <w:rFonts w:ascii="Arial" w:hAnsi="Arial" w:cs="Arial"/>
        <w:sz w:val="12"/>
        <w:szCs w:val="16"/>
      </w:rPr>
      <w:instrText>NUMPAGES  \* Arabic  \* MERGEFORMAT</w:instrText>
    </w:r>
    <w:r w:rsidRPr="00C67390">
      <w:rPr>
        <w:rFonts w:ascii="Arial" w:hAnsi="Arial" w:cs="Arial"/>
        <w:sz w:val="12"/>
        <w:szCs w:val="16"/>
      </w:rPr>
      <w:fldChar w:fldCharType="separate"/>
    </w:r>
    <w:r w:rsidR="00981402" w:rsidRPr="00981402">
      <w:rPr>
        <w:rFonts w:ascii="Arial" w:hAnsi="Arial" w:cs="Arial"/>
        <w:noProof/>
        <w:color w:val="A6A6A6"/>
        <w:sz w:val="12"/>
        <w:szCs w:val="16"/>
      </w:rPr>
      <w:t>2</w:t>
    </w:r>
    <w:r w:rsidRPr="00C67390">
      <w:rPr>
        <w:rFonts w:ascii="Arial" w:hAnsi="Arial" w:cs="Arial"/>
        <w:sz w:val="12"/>
        <w:szCs w:val="16"/>
      </w:rPr>
      <w:fldChar w:fldCharType="end"/>
    </w:r>
  </w:p>
  <w:p w:rsidR="00FA4A54" w:rsidRDefault="00FA4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54" w:rsidRDefault="00FA4A54" w:rsidP="00FA4A54">
      <w:pPr>
        <w:spacing w:after="0" w:line="240" w:lineRule="auto"/>
      </w:pPr>
      <w:r>
        <w:separator/>
      </w:r>
    </w:p>
  </w:footnote>
  <w:footnote w:type="continuationSeparator" w:id="0">
    <w:p w:rsidR="00FA4A54" w:rsidRDefault="00FA4A54" w:rsidP="00FA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9DB"/>
    <w:multiLevelType w:val="hybridMultilevel"/>
    <w:tmpl w:val="34DA1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C44"/>
    <w:multiLevelType w:val="hybridMultilevel"/>
    <w:tmpl w:val="0400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6343"/>
    <w:multiLevelType w:val="hybridMultilevel"/>
    <w:tmpl w:val="8E98C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C712EF"/>
    <w:multiLevelType w:val="hybridMultilevel"/>
    <w:tmpl w:val="1D3C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868"/>
    <w:multiLevelType w:val="hybridMultilevel"/>
    <w:tmpl w:val="A7503F92"/>
    <w:lvl w:ilvl="0" w:tplc="54E64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7F64"/>
    <w:multiLevelType w:val="hybridMultilevel"/>
    <w:tmpl w:val="11A89690"/>
    <w:lvl w:ilvl="0" w:tplc="A27E4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BIu3h8nMP5o3rocc1AzvES6A6G5woEfgU509zMADliH4Dvbw0VpKnPSR8OfOKsfhEU5Jljw7G7lfVy1R7ahwfw==" w:salt="vlmUnNdEP0tpzVunkpVt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4"/>
    <w:rsid w:val="00030C84"/>
    <w:rsid w:val="0005279D"/>
    <w:rsid w:val="00062309"/>
    <w:rsid w:val="00087E0A"/>
    <w:rsid w:val="000977E6"/>
    <w:rsid w:val="0010441F"/>
    <w:rsid w:val="001526E7"/>
    <w:rsid w:val="00153DC2"/>
    <w:rsid w:val="00156F83"/>
    <w:rsid w:val="00184AC7"/>
    <w:rsid w:val="00220E9E"/>
    <w:rsid w:val="002A58FC"/>
    <w:rsid w:val="002B1764"/>
    <w:rsid w:val="003C420A"/>
    <w:rsid w:val="003E771E"/>
    <w:rsid w:val="005254E0"/>
    <w:rsid w:val="005329F0"/>
    <w:rsid w:val="00570577"/>
    <w:rsid w:val="005824A9"/>
    <w:rsid w:val="0059194D"/>
    <w:rsid w:val="005C28D0"/>
    <w:rsid w:val="005D42B3"/>
    <w:rsid w:val="006D12B2"/>
    <w:rsid w:val="006D27E8"/>
    <w:rsid w:val="00716796"/>
    <w:rsid w:val="00725EED"/>
    <w:rsid w:val="00747A01"/>
    <w:rsid w:val="0082633D"/>
    <w:rsid w:val="00826DAD"/>
    <w:rsid w:val="00844609"/>
    <w:rsid w:val="00887B9B"/>
    <w:rsid w:val="008D60B2"/>
    <w:rsid w:val="00956135"/>
    <w:rsid w:val="00981402"/>
    <w:rsid w:val="009F027D"/>
    <w:rsid w:val="00AF3C93"/>
    <w:rsid w:val="00B04B5C"/>
    <w:rsid w:val="00B11377"/>
    <w:rsid w:val="00B66ADD"/>
    <w:rsid w:val="00C03C03"/>
    <w:rsid w:val="00C3181E"/>
    <w:rsid w:val="00C35CC7"/>
    <w:rsid w:val="00C62D67"/>
    <w:rsid w:val="00CA412D"/>
    <w:rsid w:val="00CA7F2C"/>
    <w:rsid w:val="00D00748"/>
    <w:rsid w:val="00D25643"/>
    <w:rsid w:val="00D91794"/>
    <w:rsid w:val="00DC54DD"/>
    <w:rsid w:val="00E95003"/>
    <w:rsid w:val="00E97A06"/>
    <w:rsid w:val="00F309C5"/>
    <w:rsid w:val="00F35F9A"/>
    <w:rsid w:val="00F6471A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B67E-8241-4E0B-904C-09999F2B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A54"/>
  </w:style>
  <w:style w:type="paragraph" w:styleId="Zpat">
    <w:name w:val="footer"/>
    <w:basedOn w:val="Normln"/>
    <w:link w:val="Zpat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9314-3ACC-4CAC-97C2-297D3C00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Dybova</dc:creator>
  <cp:keywords/>
  <dc:description/>
  <cp:lastModifiedBy>Ivona Stefkova</cp:lastModifiedBy>
  <cp:revision>45</cp:revision>
  <cp:lastPrinted>2012-10-25T11:35:00Z</cp:lastPrinted>
  <dcterms:created xsi:type="dcterms:W3CDTF">2012-10-15T12:37:00Z</dcterms:created>
  <dcterms:modified xsi:type="dcterms:W3CDTF">2016-05-26T07:34:00Z</dcterms:modified>
</cp:coreProperties>
</file>