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0E574E" w:rsidRDefault="002819D9" w:rsidP="000605ED">
      <w:pPr>
        <w:pStyle w:val="Nzev"/>
        <w:keepNext/>
        <w:keepLines/>
        <w:jc w:val="right"/>
        <w:rPr>
          <w:rFonts w:ascii="Arial" w:hAnsi="Arial" w:cs="Arial"/>
          <w:bCs w:val="0"/>
          <w:color w:val="000000"/>
          <w:sz w:val="20"/>
          <w:szCs w:val="22"/>
        </w:rPr>
      </w:pPr>
      <w:r w:rsidRPr="000E574E">
        <w:rPr>
          <w:rFonts w:ascii="Arial" w:hAnsi="Arial" w:cs="Arial"/>
          <w:bCs w:val="0"/>
          <w:color w:val="000000"/>
          <w:sz w:val="20"/>
          <w:szCs w:val="22"/>
        </w:rPr>
        <w:t xml:space="preserve">Příloha č. </w:t>
      </w:r>
      <w:r w:rsidR="00D85B1D" w:rsidRPr="000E574E">
        <w:rPr>
          <w:rFonts w:ascii="Arial" w:hAnsi="Arial" w:cs="Arial"/>
          <w:bCs w:val="0"/>
          <w:color w:val="000000"/>
          <w:sz w:val="20"/>
          <w:szCs w:val="22"/>
        </w:rPr>
        <w:t>1</w:t>
      </w:r>
      <w:r w:rsidRPr="000E574E">
        <w:rPr>
          <w:rFonts w:ascii="Arial" w:hAnsi="Arial" w:cs="Arial"/>
          <w:bCs w:val="0"/>
          <w:color w:val="000000"/>
          <w:sz w:val="20"/>
          <w:szCs w:val="22"/>
        </w:rPr>
        <w:t xml:space="preserve"> </w:t>
      </w:r>
      <w:r w:rsidR="0063603D">
        <w:rPr>
          <w:rFonts w:ascii="Arial" w:hAnsi="Arial" w:cs="Arial"/>
          <w:bCs w:val="0"/>
          <w:color w:val="000000"/>
          <w:sz w:val="20"/>
          <w:szCs w:val="22"/>
        </w:rPr>
        <w:t>Z</w:t>
      </w:r>
      <w:r w:rsidR="000E574E" w:rsidRPr="000E574E">
        <w:rPr>
          <w:rFonts w:ascii="Arial" w:hAnsi="Arial" w:cs="Arial"/>
          <w:bCs w:val="0"/>
          <w:color w:val="000000"/>
          <w:sz w:val="20"/>
          <w:szCs w:val="22"/>
        </w:rPr>
        <w:t>adávacích podmínek</w:t>
      </w:r>
    </w:p>
    <w:p w:rsidR="005208B6" w:rsidRPr="004E47A3" w:rsidRDefault="005208B6" w:rsidP="000605ED">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0605ED">
      <w:pPr>
        <w:keepNext/>
        <w:keepLines/>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sidR="00A8559E">
        <w:rPr>
          <w:bCs/>
          <w:szCs w:val="22"/>
        </w:rPr>
        <w:t>7</w:t>
      </w:r>
      <w:r w:rsidR="003E5C30" w:rsidRPr="000C2FAC">
        <w:rPr>
          <w:bCs/>
          <w:szCs w:val="22"/>
        </w:rPr>
        <w:t>V00000</w:t>
      </w:r>
      <w:r w:rsidR="00BC0E7D">
        <w:rPr>
          <w:bCs/>
          <w:szCs w:val="22"/>
        </w:rPr>
        <w:t>129</w:t>
      </w:r>
    </w:p>
    <w:p w:rsidR="00F426C4" w:rsidRPr="000C2FAC" w:rsidRDefault="00F426C4" w:rsidP="000605ED">
      <w:pPr>
        <w:keepNext/>
        <w:keepLines/>
        <w:spacing w:after="120"/>
        <w:ind w:left="4260" w:firstLine="703"/>
        <w:rPr>
          <w:szCs w:val="22"/>
        </w:rPr>
      </w:pPr>
    </w:p>
    <w:p w:rsidR="003A41BD" w:rsidRPr="00D85B1D" w:rsidRDefault="00F426C4" w:rsidP="000605ED">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0605ED">
      <w:pPr>
        <w:keepNext/>
        <w:keepLines/>
        <w:tabs>
          <w:tab w:val="left" w:pos="0"/>
          <w:tab w:val="left" w:leader="underscore" w:pos="4706"/>
          <w:tab w:val="left" w:pos="4990"/>
          <w:tab w:val="left" w:leader="underscore" w:pos="9639"/>
        </w:tabs>
        <w:rPr>
          <w:szCs w:val="22"/>
        </w:rPr>
      </w:pPr>
    </w:p>
    <w:p w:rsidR="005208B6" w:rsidRPr="005E4788" w:rsidRDefault="005208B6" w:rsidP="000605ED">
      <w:pPr>
        <w:keepNext/>
        <w:keepLines/>
        <w:tabs>
          <w:tab w:val="left" w:pos="0"/>
          <w:tab w:val="left" w:leader="underscore" w:pos="4706"/>
          <w:tab w:val="left" w:pos="4990"/>
          <w:tab w:val="left" w:leader="underscore" w:pos="9639"/>
        </w:tabs>
        <w:rPr>
          <w:szCs w:val="22"/>
        </w:rPr>
      </w:pPr>
    </w:p>
    <w:p w:rsidR="0036786C" w:rsidRPr="00D4333A" w:rsidRDefault="0036786C" w:rsidP="000605ED">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E72E06" w:rsidRPr="005E4788" w:rsidRDefault="00E72E06" w:rsidP="000605ED">
      <w:pPr>
        <w:keepNext/>
        <w:keepLines/>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 xml:space="preserve">……….      </w:t>
      </w:r>
      <w:r w:rsidR="00D85B1D" w:rsidRPr="000E574E">
        <w:rPr>
          <w:rFonts w:ascii="Arial" w:hAnsi="Arial" w:cs="Arial"/>
          <w:b/>
          <w:sz w:val="20"/>
          <w:szCs w:val="22"/>
          <w:highlight w:val="yellow"/>
        </w:rPr>
        <w:t xml:space="preserve">(doplní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0605ED">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0605ED">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0605ED">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OR: ..........</w:t>
      </w:r>
    </w:p>
    <w:p w:rsidR="003D33AA" w:rsidRPr="005E4788" w:rsidRDefault="00D85B1D" w:rsidP="000605ED">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2352AC" w:rsidRPr="005E4788" w:rsidRDefault="004D1482" w:rsidP="000605ED">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0605ED">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0605ED">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0605ED">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0605ED">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0605ED">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0605ED">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0605ED">
      <w:pPr>
        <w:keepNext/>
        <w:keepLines/>
        <w:tabs>
          <w:tab w:val="left" w:pos="0"/>
          <w:tab w:val="left" w:pos="4706"/>
          <w:tab w:val="left" w:pos="4990"/>
          <w:tab w:val="left" w:pos="9639"/>
        </w:tabs>
        <w:rPr>
          <w:i/>
          <w:szCs w:val="22"/>
        </w:rPr>
      </w:pPr>
      <w:r w:rsidRPr="00712FE8">
        <w:rPr>
          <w:i/>
          <w:szCs w:val="22"/>
        </w:rPr>
        <w:tab/>
      </w:r>
    </w:p>
    <w:p w:rsidR="004D1482" w:rsidRDefault="004D1482" w:rsidP="000605ED">
      <w:pPr>
        <w:keepNext/>
        <w:keepLines/>
        <w:tabs>
          <w:tab w:val="left" w:pos="0"/>
          <w:tab w:val="left" w:pos="4706"/>
          <w:tab w:val="left" w:pos="4990"/>
          <w:tab w:val="left" w:pos="9639"/>
        </w:tabs>
        <w:rPr>
          <w:szCs w:val="22"/>
        </w:rPr>
      </w:pPr>
    </w:p>
    <w:p w:rsidR="009F2789" w:rsidRPr="00423E8E" w:rsidRDefault="009F2789" w:rsidP="000605ED">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A8559E">
      <w:pPr>
        <w:pStyle w:val="Nadpis1"/>
        <w:spacing w:before="360"/>
      </w:pPr>
      <w:r w:rsidRPr="00B90F01">
        <w:t xml:space="preserve">Část </w:t>
      </w:r>
      <w:r>
        <w:t>A</w:t>
      </w:r>
    </w:p>
    <w:p w:rsidR="00850EF9" w:rsidRPr="00160BA4" w:rsidRDefault="00850EF9" w:rsidP="00A8559E">
      <w:pPr>
        <w:pStyle w:val="Nadpis2"/>
        <w:spacing w:before="60"/>
        <w:ind w:left="0"/>
      </w:pPr>
    </w:p>
    <w:p w:rsidR="00850EF9" w:rsidRPr="00993410" w:rsidRDefault="00850EF9" w:rsidP="00A8559E">
      <w:pPr>
        <w:pStyle w:val="Nadpis3"/>
      </w:pPr>
      <w:r w:rsidRPr="00993410">
        <w:t>Základní ustanovení</w:t>
      </w:r>
    </w:p>
    <w:p w:rsidR="00A027EE" w:rsidRDefault="00DF0634" w:rsidP="00A027EE">
      <w:pPr>
        <w:pStyle w:val="Zkladntextodsazen-slo"/>
        <w:keepNext/>
        <w:numPr>
          <w:ilvl w:val="0"/>
          <w:numId w:val="17"/>
        </w:numPr>
        <w:ind w:left="357" w:hanging="357"/>
      </w:pPr>
      <w:r>
        <w:t>Tato smlouva je uzavřena podle zákona č. 89/2012 S</w:t>
      </w:r>
      <w:r w:rsidR="0075318F">
        <w:t>b., občanský zákoník (dále jen „</w:t>
      </w:r>
      <w:r>
        <w:t>OZ</w:t>
      </w:r>
      <w:r w:rsidR="0075318F">
        <w:t>“</w:t>
      </w:r>
      <w:r>
        <w:t>).</w:t>
      </w:r>
    </w:p>
    <w:p w:rsidR="00A10CAB" w:rsidRPr="0023442A" w:rsidRDefault="00A10CAB" w:rsidP="00A027EE">
      <w:pPr>
        <w:pStyle w:val="Zkladntextodsazen-slo"/>
        <w:keepNext/>
        <w:numPr>
          <w:ilvl w:val="0"/>
          <w:numId w:val="17"/>
        </w:numPr>
        <w:ind w:left="357" w:hanging="357"/>
      </w:pPr>
      <w:r w:rsidRPr="00303BB3">
        <w:t xml:space="preserve">Účelem uzavření této smlouvy je </w:t>
      </w:r>
      <w:r w:rsidR="00D85B1D">
        <w:t xml:space="preserve">zajištění nezbytných předpokladů pro budoucí realizaci stavby </w:t>
      </w:r>
      <w:r w:rsidR="00D85B1D" w:rsidRPr="00F33DC7">
        <w:t>„</w:t>
      </w:r>
      <w:r w:rsidR="0060141D" w:rsidRPr="0060141D">
        <w:t>Revitalizace lesoparku Ben</w:t>
      </w:r>
      <w:r w:rsidR="0060141D">
        <w:t>átky a Hulváckého kopce</w:t>
      </w:r>
      <w:r w:rsidR="00D85B1D" w:rsidRPr="00F33DC7">
        <w:t>“</w:t>
      </w:r>
      <w:r w:rsidRPr="0023442A">
        <w:t xml:space="preserve">. </w:t>
      </w:r>
    </w:p>
    <w:p w:rsidR="00850EF9" w:rsidRPr="006A2820" w:rsidRDefault="00850EF9" w:rsidP="00A8559E">
      <w:pPr>
        <w:pStyle w:val="Zkladntextodsazen-slo"/>
        <w:keepNext/>
        <w:numPr>
          <w:ilvl w:val="0"/>
          <w:numId w:val="17"/>
        </w:numPr>
        <w:ind w:left="357" w:hanging="357"/>
      </w:pPr>
      <w:r w:rsidRPr="006A2820">
        <w:t xml:space="preserve">Smluvní strany prohlašují, 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A8559E">
      <w:pPr>
        <w:pStyle w:val="Zkladntextodsazen-slo"/>
        <w:keepNext/>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A8559E">
      <w:pPr>
        <w:pStyle w:val="Zkladntextodsazen-slo"/>
        <w:keepNext/>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A8559E">
      <w:pPr>
        <w:pStyle w:val="Zkladntextodsazen-slo"/>
        <w:keepNext/>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minimálně</w:t>
      </w:r>
      <w:r w:rsidR="00F347CA">
        <w:t xml:space="preserve"> </w:t>
      </w:r>
      <w:r w:rsidR="00A8559E">
        <w:t>…</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(doplní dodavatel mi</w:t>
      </w:r>
      <w:r w:rsidR="00A8559E">
        <w:rPr>
          <w:rFonts w:ascii="Arial" w:hAnsi="Arial" w:cs="Arial"/>
          <w:b/>
          <w:sz w:val="20"/>
          <w:highlight w:val="yellow"/>
        </w:rPr>
        <w:t>n</w:t>
      </w:r>
      <w:r w:rsidR="00A8559E" w:rsidRPr="00A8559E">
        <w:rPr>
          <w:rFonts w:ascii="Arial" w:hAnsi="Arial" w:cs="Arial"/>
          <w:b/>
          <w:sz w:val="20"/>
          <w:highlight w:val="yellow"/>
        </w:rPr>
        <w:t>. však</w:t>
      </w:r>
      <w:r w:rsidR="006E0C7B">
        <w:rPr>
          <w:rFonts w:ascii="Arial" w:hAnsi="Arial" w:cs="Arial"/>
          <w:b/>
          <w:sz w:val="20"/>
          <w:highlight w:val="yellow"/>
        </w:rPr>
        <w:t xml:space="preserve"> 1</w:t>
      </w:r>
      <w:r w:rsidR="00A8559E" w:rsidRPr="00A8559E">
        <w:rPr>
          <w:rFonts w:ascii="Arial" w:hAnsi="Arial" w:cs="Arial"/>
          <w:b/>
          <w:sz w:val="20"/>
          <w:highlight w:val="yellow"/>
        </w:rPr>
        <w:t xml:space="preserve"> mil. Kč)</w:t>
      </w:r>
      <w:r w:rsidRPr="00712FE8">
        <w:t>, kterou kdykoliv na požádání předloží v 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A8559E">
        <w:t>…</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  </w:t>
      </w:r>
      <w:r w:rsidRPr="00A21365">
        <w:rPr>
          <w:i/>
          <w:sz w:val="20"/>
          <w:szCs w:val="20"/>
        </w:rPr>
        <w:t xml:space="preserve">Pozn.: </w:t>
      </w:r>
      <w:r w:rsidRPr="00A21365">
        <w:rPr>
          <w:i/>
          <w:sz w:val="20"/>
          <w:szCs w:val="20"/>
        </w:rPr>
        <w:lastRenderedPageBreak/>
        <w:t>Pokud bude tato smlouva uzavřena s jedním dodavatelem, bude před uzavřením této smlouvy odstavec v závorce vypuštěn).</w:t>
      </w:r>
    </w:p>
    <w:p w:rsidR="00F11DAD" w:rsidRPr="0003197E" w:rsidRDefault="00F11DAD" w:rsidP="00A8559E">
      <w:pPr>
        <w:pStyle w:val="Zkladntextodsazen-slo"/>
        <w:keepNext/>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A8559E">
      <w:pPr>
        <w:pStyle w:val="Zkladntextodsazen-slo"/>
        <w:keepNext/>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0605ED">
      <w:pPr>
        <w:pStyle w:val="Nadpis1"/>
        <w:keepLines/>
        <w:spacing w:before="420" w:line="240" w:lineRule="auto"/>
      </w:pPr>
      <w:r w:rsidRPr="00423E8E">
        <w:t>Část B</w:t>
      </w:r>
    </w:p>
    <w:p w:rsidR="00850EF9" w:rsidRPr="00466233" w:rsidRDefault="00850EF9" w:rsidP="000605ED">
      <w:pPr>
        <w:pStyle w:val="Nadpis1"/>
        <w:keepLines/>
        <w:spacing w:before="0" w:line="240" w:lineRule="auto"/>
        <w:rPr>
          <w:highlight w:val="yellow"/>
        </w:rPr>
      </w:pPr>
      <w:r w:rsidRPr="00B90F01">
        <w:t>P</w:t>
      </w:r>
      <w:r>
        <w:t xml:space="preserve">rojektová dokumentace </w:t>
      </w:r>
    </w:p>
    <w:p w:rsidR="00850EF9" w:rsidRPr="00B90F01" w:rsidRDefault="00850EF9" w:rsidP="000605ED">
      <w:pPr>
        <w:pStyle w:val="Nadpis2"/>
        <w:keepLines/>
        <w:spacing w:before="240"/>
        <w:ind w:left="0"/>
      </w:pPr>
    </w:p>
    <w:p w:rsidR="00850EF9" w:rsidRPr="00B90F01" w:rsidRDefault="00850EF9" w:rsidP="000605ED">
      <w:pPr>
        <w:pStyle w:val="Nadpis3"/>
        <w:keepLines/>
      </w:pPr>
      <w:r w:rsidRPr="00B90F01">
        <w:t>Předmět</w:t>
      </w:r>
      <w:r w:rsidR="0086077C">
        <w:t xml:space="preserve"> smlouvy</w:t>
      </w:r>
    </w:p>
    <w:p w:rsidR="006305B8" w:rsidRPr="00F347CA" w:rsidRDefault="00946766" w:rsidP="00C8517B">
      <w:pPr>
        <w:pStyle w:val="Zkladntextodsazen-slo"/>
        <w:keepNext/>
        <w:keepLines/>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územní řízení </w:t>
      </w:r>
      <w:r w:rsidR="006D1C74">
        <w:t xml:space="preserve">(dále jen </w:t>
      </w:r>
      <w:r w:rsidR="009018A7" w:rsidRPr="00F347CA">
        <w:t xml:space="preserve">„DÚR“)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C8517B" w:rsidRPr="00C8517B">
        <w:rPr>
          <w:rFonts w:ascii="Arial" w:hAnsi="Arial" w:cs="Arial"/>
          <w:b/>
          <w:iCs/>
          <w:color w:val="000000"/>
          <w:sz w:val="20"/>
        </w:rPr>
        <w:t>Revitalizace lesoparku Benátky a Hulváckého kopce</w:t>
      </w:r>
      <w:r w:rsidRPr="00F347CA">
        <w:rPr>
          <w:rFonts w:ascii="Arial" w:hAnsi="Arial" w:cs="Arial"/>
          <w:b/>
          <w:sz w:val="20"/>
        </w:rPr>
        <w:t>“</w:t>
      </w:r>
      <w:r w:rsidR="00483656" w:rsidRPr="00F347CA">
        <w:rPr>
          <w:b/>
        </w:rPr>
        <w:t xml:space="preserve"> </w:t>
      </w:r>
      <w:r w:rsidR="00C8517B" w:rsidRPr="00C8517B">
        <w:rPr>
          <w:iCs/>
          <w:color w:val="000000"/>
        </w:rPr>
        <w:t xml:space="preserve">na rozhraní dvou městských obvodů Mariánské hory a </w:t>
      </w:r>
      <w:proofErr w:type="spellStart"/>
      <w:r w:rsidR="00C8517B" w:rsidRPr="00C8517B">
        <w:rPr>
          <w:iCs/>
          <w:color w:val="000000"/>
        </w:rPr>
        <w:t>Hulváky</w:t>
      </w:r>
      <w:proofErr w:type="spellEnd"/>
      <w:r w:rsidR="00C8517B" w:rsidRPr="00C8517B">
        <w:rPr>
          <w:iCs/>
          <w:color w:val="000000"/>
        </w:rPr>
        <w:t xml:space="preserve"> a Nová Ves, obec Ostrava</w:t>
      </w:r>
      <w:r w:rsidR="00D72C71" w:rsidRPr="00F347CA">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D47EE" w:rsidRPr="00F347CA" w:rsidRDefault="00F84811" w:rsidP="00A8559E">
      <w:pPr>
        <w:pStyle w:val="Zkladntextodsazen-slo"/>
        <w:keepNext/>
        <w:keepLines/>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územní řízení </w:t>
      </w:r>
      <w:r w:rsidRPr="00F347CA">
        <w:rPr>
          <w:bCs/>
          <w:noProof/>
        </w:rPr>
        <w:t>je</w:t>
      </w:r>
      <w:r w:rsidR="00583A81" w:rsidRPr="00F347CA">
        <w:rPr>
          <w:bCs/>
          <w:noProof/>
        </w:rPr>
        <w:t xml:space="preserve"> </w:t>
      </w:r>
      <w:r w:rsidR="00C8517B">
        <w:rPr>
          <w:bCs/>
          <w:noProof/>
        </w:rPr>
        <w:t xml:space="preserve">investiční záměr zpracovaný </w:t>
      </w:r>
      <w:r w:rsidR="00C8517B" w:rsidRPr="00C8517B">
        <w:rPr>
          <w:bCs/>
          <w:noProof/>
        </w:rPr>
        <w:t>Architektonickou kanceláří ARKOS  s.r.o., IČO: 47678798, se sídlem: Hrabákova 1780/5, 702 00 Ostrava – Moravská Ostrava ve spolupráci se společností ZAHRADA Olomouc s.r.o., IČO: 48395013, se sídlem: Železniční 469/4, Chválkovice, 779 00 Olomouc</w:t>
      </w:r>
      <w:r w:rsidR="00A8559E">
        <w:rPr>
          <w:iCs/>
          <w:color w:val="000000"/>
        </w:rPr>
        <w:t>.</w:t>
      </w:r>
      <w:r w:rsidR="00A8559E">
        <w:t xml:space="preserve"> </w:t>
      </w:r>
      <w:r w:rsidR="00C66FE5"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dle souvisejících prováděcích předpisů a vyhlášek 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0605ED">
      <w:pPr>
        <w:pStyle w:val="Zkladntextodsazen-slo"/>
        <w:keepNext/>
        <w:keepLines/>
        <w:numPr>
          <w:ilvl w:val="0"/>
          <w:numId w:val="0"/>
        </w:numPr>
        <w:spacing w:before="60"/>
        <w:ind w:left="357"/>
        <w:rPr>
          <w:i/>
        </w:rPr>
      </w:pPr>
      <w:r w:rsidRPr="00F347CA">
        <w:t>Projektová dokumentace pro územní řízení (DÚR) bude obsahovat:</w:t>
      </w:r>
    </w:p>
    <w:p w:rsidR="00CE27DA" w:rsidRPr="00F347CA" w:rsidRDefault="00CE27DA" w:rsidP="000605ED">
      <w:pPr>
        <w:pStyle w:val="Odstavecseseznamem"/>
        <w:keepNext/>
        <w:keepLines/>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0605ED">
      <w:pPr>
        <w:pStyle w:val="Odstavecseseznamem"/>
        <w:keepNext/>
        <w:keepLines/>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0605ED">
      <w:pPr>
        <w:pStyle w:val="Odstavecseseznamem"/>
        <w:keepNext/>
        <w:keepLines/>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w:t>
      </w:r>
      <w:r w:rsidR="009438CE">
        <w:t>geochemický</w:t>
      </w:r>
      <w:proofErr w:type="spellEnd"/>
      <w:r w:rsidR="009438CE">
        <w:t xml:space="preserve"> (metanový) průzkum</w:t>
      </w:r>
      <w:r w:rsidRPr="00F347CA">
        <w:t>, dendrologický průzkum aj., včetně zapracování výsledků průzkumů do projektové dokumentace (DÚR),</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r w:rsidRPr="00F347CA">
        <w:t>č.</w:t>
      </w:r>
      <w:r w:rsidR="00DC12D3" w:rsidRPr="00F347CA">
        <w:t xml:space="preserve"> </w:t>
      </w:r>
      <w:r w:rsidR="009438CE">
        <w:t xml:space="preserve">4 </w:t>
      </w:r>
      <w:r w:rsidRPr="00F347CA">
        <w:t>zákona č. 100/2001 Sb., o posuzování vlivů na životní prostředí a o změně některých souvisejících</w:t>
      </w:r>
      <w:r w:rsidR="00A942AE" w:rsidRPr="00F347CA">
        <w:t xml:space="preserve"> </w:t>
      </w:r>
      <w:r w:rsidRPr="00F347CA">
        <w:t>zákonů (zákon o posuzování vlivů na životní prostředí), ve znění pozdějších předpisů. V projektové dokumentaci pro územní řízení</w:t>
      </w:r>
      <w:r w:rsidR="00A942AE" w:rsidRPr="00F347CA">
        <w:t xml:space="preserve"> budou zapracovány podmínky 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F347CA" w:rsidRDefault="00955C3F" w:rsidP="000605ED">
      <w:pPr>
        <w:pStyle w:val="Odstavecseseznamem"/>
        <w:keepNext/>
        <w:numPr>
          <w:ilvl w:val="0"/>
          <w:numId w:val="5"/>
        </w:numPr>
        <w:tabs>
          <w:tab w:val="num" w:pos="851"/>
          <w:tab w:val="num" w:pos="1440"/>
        </w:tabs>
        <w:ind w:left="709"/>
        <w:rPr>
          <w:szCs w:val="22"/>
        </w:rPr>
      </w:pPr>
      <w:r w:rsidRPr="00F347CA">
        <w:t>příprav</w:t>
      </w:r>
      <w:r w:rsidR="00422124" w:rsidRPr="00F347CA">
        <w:t>u</w:t>
      </w:r>
      <w:r w:rsidRPr="00F347CA">
        <w:t xml:space="preserve"> podkladů a zajištění vlastní prezentace projektové dokumentace pro územní řízení </w:t>
      </w:r>
      <w:r w:rsidR="007F1C91" w:rsidRPr="00F347CA">
        <w:br/>
      </w:r>
      <w:r w:rsidRPr="00F347CA">
        <w:t>na veřejném projednání a v orgánech statutárního města Ostravy,</w:t>
      </w:r>
    </w:p>
    <w:p w:rsidR="006303FA" w:rsidRPr="00F347CA" w:rsidRDefault="00E73F09" w:rsidP="000605ED">
      <w:pPr>
        <w:pStyle w:val="Odstavecseseznamem"/>
        <w:keepNext/>
        <w:numPr>
          <w:ilvl w:val="0"/>
          <w:numId w:val="5"/>
        </w:numPr>
        <w:tabs>
          <w:tab w:val="num" w:pos="851"/>
          <w:tab w:val="num" w:pos="1440"/>
        </w:tabs>
        <w:ind w:left="709"/>
        <w:rPr>
          <w:szCs w:val="22"/>
        </w:rPr>
      </w:pPr>
      <w:r w:rsidRPr="00F347CA">
        <w:rPr>
          <w:szCs w:val="22"/>
        </w:rPr>
        <w:lastRenderedPageBreak/>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0605ED">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0605ED">
      <w:pPr>
        <w:pStyle w:val="Zkladntextodsazen-slo"/>
        <w:keepNext/>
        <w:keepLines/>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0605ED">
      <w:pPr>
        <w:pStyle w:val="Zkladntextodsazen-slo"/>
        <w:keepNext/>
        <w:keepLines/>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9438CE" w:rsidRPr="009438CE">
        <w:rPr>
          <w:rFonts w:ascii="Arial" w:hAnsi="Arial" w:cs="Arial"/>
          <w:b/>
          <w:sz w:val="20"/>
        </w:rPr>
        <w:t>8</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923DE8" w:rsidP="000605ED">
      <w:pPr>
        <w:pStyle w:val="Zkladntextodsazen-slo"/>
        <w:keepNext/>
        <w:keepLines/>
        <w:numPr>
          <w:ilvl w:val="0"/>
          <w:numId w:val="15"/>
        </w:numPr>
        <w:ind w:left="357" w:hanging="357"/>
      </w:pPr>
      <w:r w:rsidRPr="00F347CA">
        <w:t>Projektová dokumentace (</w:t>
      </w:r>
      <w:r w:rsidR="00DD4304" w:rsidRPr="00F347CA">
        <w:t>DÚR</w:t>
      </w:r>
      <w:r w:rsidRPr="00F347CA">
        <w:t>)</w:t>
      </w:r>
      <w:r w:rsidR="00DD4304" w:rsidRPr="00F347CA">
        <w:t xml:space="preserve"> bud</w:t>
      </w:r>
      <w:r w:rsidR="001F51AC" w:rsidRPr="00F347CA">
        <w:t>e</w:t>
      </w:r>
      <w:r w:rsidR="00DD4304" w:rsidRPr="00F347CA">
        <w:t xml:space="preserve"> </w:t>
      </w:r>
      <w:r w:rsidR="007C3BAE" w:rsidRPr="00F347CA">
        <w:t xml:space="preserve">objednateli </w:t>
      </w:r>
      <w:r w:rsidR="001F51AC" w:rsidRPr="00F347CA">
        <w:t>předána</w:t>
      </w:r>
      <w:r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(*.dwg)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0605ED">
      <w:pPr>
        <w:keepNext/>
        <w:keepLines/>
        <w:numPr>
          <w:ilvl w:val="1"/>
          <w:numId w:val="6"/>
        </w:numPr>
        <w:tabs>
          <w:tab w:val="clear" w:pos="1134"/>
        </w:tabs>
        <w:ind w:left="641" w:hanging="284"/>
        <w:rPr>
          <w:szCs w:val="22"/>
        </w:rPr>
      </w:pPr>
      <w:r w:rsidRPr="00F347CA">
        <w:t xml:space="preserve">všechny výstupy z geodetických a všech průzkumných prací budou současně dodány v digitální podobě na CD(DVD)-ROM, a to textová část ve formátu kompatibilním s programem Microsoft WORD, příp. Microsoft EXCEL a geodetické podklady ve formátu *.dwg kompatibilním s programem </w:t>
      </w:r>
      <w:proofErr w:type="spellStart"/>
      <w:r w:rsidRPr="00F347CA">
        <w:t>AutoCAD</w:t>
      </w:r>
      <w:proofErr w:type="spellEnd"/>
      <w:r w:rsidRPr="00F347CA">
        <w:t>.</w:t>
      </w:r>
    </w:p>
    <w:p w:rsidR="00DE27AC" w:rsidRPr="00F347CA" w:rsidRDefault="00DE27AC" w:rsidP="000605ED">
      <w:pPr>
        <w:keepNext/>
        <w:keepLines/>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dokumenty doporučenými Českou komorou autorizovaných inženýrů a techniků činných ve výstavbě,</w:t>
      </w:r>
      <w:r w:rsidR="004104A2" w:rsidRPr="00F347CA">
        <w:rPr>
          <w:szCs w:val="22"/>
        </w:rPr>
        <w:t xml:space="preserve"> </w:t>
      </w:r>
      <w:r w:rsidR="00051F10" w:rsidRPr="00F347CA">
        <w:rPr>
          <w:szCs w:val="22"/>
        </w:rPr>
        <w:t xml:space="preserve">technickými podmínkami, </w:t>
      </w:r>
      <w:r w:rsidR="00F35743" w:rsidRPr="00F347CA">
        <w:rPr>
          <w:szCs w:val="22"/>
        </w:rPr>
        <w:t>ustanoveními této smlouvy,</w:t>
      </w:r>
      <w:r w:rsidRPr="00F347CA">
        <w:rPr>
          <w:szCs w:val="22"/>
        </w:rPr>
        <w:t xml:space="preserve"> </w:t>
      </w:r>
      <w:r w:rsidR="004104A2" w:rsidRPr="00F347CA">
        <w:rPr>
          <w:szCs w:val="22"/>
        </w:rPr>
        <w:t xml:space="preserve">pokyny objednatele, </w:t>
      </w:r>
      <w:r w:rsidRPr="00F347CA">
        <w:t xml:space="preserve">zadávací dokumentací </w:t>
      </w:r>
      <w:r w:rsidR="004104A2" w:rsidRPr="00F347CA">
        <w:t xml:space="preserve">k veřejné zakázce </w:t>
      </w:r>
      <w:r w:rsidR="004104A2" w:rsidRPr="00F347CA">
        <w:rPr>
          <w:bCs/>
          <w:szCs w:val="22"/>
        </w:rPr>
        <w:t>P1</w:t>
      </w:r>
      <w:r w:rsidR="00A8559E">
        <w:rPr>
          <w:bCs/>
          <w:szCs w:val="22"/>
        </w:rPr>
        <w:t>7V00000</w:t>
      </w:r>
      <w:r w:rsidR="00BC0E7D">
        <w:rPr>
          <w:bCs/>
          <w:szCs w:val="22"/>
        </w:rPr>
        <w:t>129</w:t>
      </w:r>
      <w:r w:rsidR="004104A2" w:rsidRPr="00F347CA">
        <w:rPr>
          <w:bCs/>
          <w:szCs w:val="22"/>
        </w:rPr>
        <w:t xml:space="preserve"> </w:t>
      </w:r>
      <w:r w:rsidRPr="00F347CA">
        <w:t>a nabídkou podanou zhotovitelem k</w:t>
      </w:r>
      <w:r w:rsidR="004104A2" w:rsidRPr="00F347CA">
        <w:t xml:space="preserve"> této </w:t>
      </w:r>
      <w:r w:rsidRPr="00F347CA">
        <w:t>veřejné zakázce</w:t>
      </w:r>
      <w:r w:rsidRPr="00F347CA">
        <w:rPr>
          <w:szCs w:val="22"/>
        </w:rPr>
        <w:t>.</w:t>
      </w:r>
    </w:p>
    <w:p w:rsidR="00DE27AC" w:rsidRDefault="00DE27AC" w:rsidP="000605ED">
      <w:pPr>
        <w:pStyle w:val="Zkladntextodsazen-slo"/>
        <w:keepNext/>
        <w:keepLines/>
        <w:numPr>
          <w:ilvl w:val="0"/>
          <w:numId w:val="0"/>
        </w:numPr>
        <w:ind w:left="284"/>
      </w:pPr>
    </w:p>
    <w:p w:rsidR="000605ED" w:rsidRDefault="000605ED" w:rsidP="000605ED">
      <w:pPr>
        <w:pStyle w:val="Zkladntextodsazen-slo"/>
        <w:keepNext/>
        <w:keepLines/>
        <w:numPr>
          <w:ilvl w:val="0"/>
          <w:numId w:val="0"/>
        </w:numPr>
        <w:ind w:left="284"/>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Doba plnění</w:t>
      </w:r>
      <w:r w:rsidR="00622D56">
        <w:t xml:space="preserve"> </w:t>
      </w:r>
    </w:p>
    <w:p w:rsidR="00850EF9" w:rsidRPr="00B34460" w:rsidRDefault="00850EF9" w:rsidP="000605ED">
      <w:pPr>
        <w:pStyle w:val="Zkladntextodsazen-slo"/>
        <w:keepNext/>
        <w:keepLines/>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Pr="00545B46" w:rsidRDefault="00F35743" w:rsidP="000605ED">
      <w:pPr>
        <w:pStyle w:val="Zkladntextodsazen-slo"/>
        <w:keepNext/>
        <w:numPr>
          <w:ilvl w:val="0"/>
          <w:numId w:val="11"/>
        </w:numPr>
        <w:ind w:left="357" w:hanging="357"/>
        <w:outlineLvl w:val="9"/>
      </w:pPr>
      <w:r w:rsidRPr="008F1B51">
        <w:t>Koncept projektové dokume</w:t>
      </w:r>
      <w:r w:rsidR="007C3BAE">
        <w:t>ntace</w:t>
      </w:r>
      <w:r w:rsidR="00526C6E">
        <w:t xml:space="preserve"> </w:t>
      </w:r>
      <w:r w:rsidR="007C3BAE">
        <w:t>pro územní řízení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r w:rsidRPr="009B3123">
        <w:rPr>
          <w:rFonts w:ascii="Arial" w:hAnsi="Arial" w:cs="Arial"/>
          <w:b/>
          <w:sz w:val="20"/>
        </w:rPr>
        <w:t>do ..... týdnů</w:t>
      </w:r>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w:t>
      </w:r>
      <w:r w:rsidR="009438CE">
        <w:rPr>
          <w:rStyle w:val="mojeChar"/>
          <w:i/>
          <w:sz w:val="20"/>
          <w:szCs w:val="20"/>
          <w:highlight w:val="yellow"/>
        </w:rPr>
        <w:t>1</w:t>
      </w:r>
      <w:r w:rsidR="0079206C">
        <w:rPr>
          <w:rStyle w:val="mojeChar"/>
          <w:i/>
          <w:sz w:val="20"/>
          <w:szCs w:val="20"/>
          <w:highlight w:val="yellow"/>
        </w:rPr>
        <w:t>4</w:t>
      </w:r>
      <w:r w:rsidR="009438CE">
        <w:rPr>
          <w:rStyle w:val="mojeChar"/>
          <w:i/>
          <w:sz w:val="20"/>
          <w:szCs w:val="20"/>
          <w:highlight w:val="yellow"/>
        </w:rPr>
        <w:t xml:space="preserve"> </w:t>
      </w:r>
      <w:r w:rsidRPr="009B3123">
        <w:rPr>
          <w:rStyle w:val="mojeChar"/>
          <w:i/>
          <w:sz w:val="20"/>
          <w:szCs w:val="20"/>
          <w:highlight w:val="yellow"/>
        </w:rPr>
        <w:t>týdnů)</w:t>
      </w:r>
      <w:r w:rsidRPr="0031262F">
        <w:rPr>
          <w:bCs/>
          <w:iCs/>
        </w:rPr>
        <w:t xml:space="preserve"> </w:t>
      </w:r>
      <w:r w:rsidRPr="0031262F">
        <w:t xml:space="preserve">od </w:t>
      </w:r>
      <w:r w:rsidRPr="00545B46">
        <w:t>nabytí účinnosti této smlouvy.</w:t>
      </w:r>
    </w:p>
    <w:p w:rsidR="00A94B17" w:rsidRPr="00545B46" w:rsidRDefault="00F35743" w:rsidP="000605ED">
      <w:pPr>
        <w:pStyle w:val="Zkladntextodsazen-slo"/>
        <w:keepNext/>
        <w:numPr>
          <w:ilvl w:val="0"/>
          <w:numId w:val="11"/>
        </w:numPr>
        <w:ind w:left="357" w:hanging="357"/>
        <w:outlineLvl w:val="9"/>
      </w:pPr>
      <w:r w:rsidRPr="00545B46">
        <w:t>Čistopis projektové dokumentace</w:t>
      </w:r>
      <w:r w:rsidR="0097618C" w:rsidRPr="00545B46">
        <w:t xml:space="preserve"> </w:t>
      </w:r>
      <w:r w:rsidR="00084D12" w:rsidRPr="00545B46">
        <w:t>p</w:t>
      </w:r>
      <w:r w:rsidRPr="00545B46">
        <w:t xml:space="preserve">ro územní řízení (DÚR) v požadovaném rozsahu bude objednateli předán </w:t>
      </w:r>
      <w:r w:rsidRPr="00545B46">
        <w:rPr>
          <w:rFonts w:ascii="Arial" w:hAnsi="Arial" w:cs="Arial"/>
          <w:b/>
          <w:sz w:val="20"/>
        </w:rPr>
        <w:t xml:space="preserve">do </w:t>
      </w:r>
      <w:r w:rsidR="00F347CA" w:rsidRPr="00545B46">
        <w:rPr>
          <w:rFonts w:ascii="Arial" w:hAnsi="Arial" w:cs="Arial"/>
          <w:b/>
          <w:sz w:val="20"/>
        </w:rPr>
        <w:t>2</w:t>
      </w:r>
      <w:r w:rsidRPr="00545B46">
        <w:rPr>
          <w:rFonts w:ascii="Arial" w:hAnsi="Arial" w:cs="Arial"/>
          <w:b/>
          <w:sz w:val="20"/>
        </w:rPr>
        <w:t xml:space="preserve"> týdn</w:t>
      </w:r>
      <w:r w:rsidR="00955C3F" w:rsidRPr="00545B46">
        <w:rPr>
          <w:rFonts w:ascii="Arial" w:hAnsi="Arial" w:cs="Arial"/>
          <w:b/>
          <w:sz w:val="20"/>
        </w:rPr>
        <w:t>ů</w:t>
      </w:r>
      <w:r w:rsidRPr="00545B46">
        <w:rPr>
          <w:sz w:val="20"/>
        </w:rPr>
        <w:t xml:space="preserve"> </w:t>
      </w:r>
      <w:r w:rsidRPr="00545B46">
        <w:t>od schválení konceptu uvedené projektové dokumentace objednatelem.</w:t>
      </w:r>
    </w:p>
    <w:p w:rsidR="007C3BAE" w:rsidRPr="00F35743" w:rsidRDefault="007C3BAE" w:rsidP="00BC0E7D">
      <w:pPr>
        <w:pStyle w:val="Zkladntextodsazen-slo"/>
        <w:keepNext/>
        <w:numPr>
          <w:ilvl w:val="0"/>
          <w:numId w:val="11"/>
        </w:numPr>
        <w:ind w:left="357" w:hanging="357"/>
        <w:outlineLvl w:val="9"/>
      </w:pPr>
      <w:r w:rsidRPr="00545B46">
        <w:t>V případě vzniku překážek ze strany dotčených orgánů státní správy, ze strany vlastníků dotčených parcel, vlastníků (správců) inženýrských sítí, popř. vlastníků dotčených objektů, bránících zhotoviteli v plnění jeho závazku dle bodu 2. a 3. tohoto článku smlouvy, kterým zhotovitel jednající s náležitou péčí nemohl zabránit, se o dobu trvání těchto překážek prodlužuje doba plnění.</w:t>
      </w:r>
      <w:r w:rsidR="0087130A" w:rsidRPr="00545B46">
        <w:t xml:space="preserve"> </w:t>
      </w:r>
    </w:p>
    <w:p w:rsidR="00E050C1" w:rsidRDefault="00E050C1" w:rsidP="000605ED">
      <w:pPr>
        <w:pStyle w:val="Zkladntextodsazen-slo"/>
        <w:keepNext/>
        <w:keepLines/>
        <w:numPr>
          <w:ilvl w:val="0"/>
          <w:numId w:val="0"/>
        </w:numPr>
        <w:ind w:left="284"/>
        <w:rPr>
          <w:rFonts w:ascii="Arial" w:hAnsi="Arial" w:cs="Arial"/>
          <w:b/>
          <w:sz w:val="20"/>
        </w:rPr>
      </w:pPr>
    </w:p>
    <w:p w:rsidR="000605ED" w:rsidRPr="00051F10" w:rsidRDefault="000605ED" w:rsidP="000605ED">
      <w:pPr>
        <w:pStyle w:val="Zkladntextodsazen-slo"/>
        <w:keepNext/>
        <w:keepLines/>
        <w:numPr>
          <w:ilvl w:val="0"/>
          <w:numId w:val="0"/>
        </w:numPr>
        <w:ind w:left="284"/>
        <w:rPr>
          <w:rFonts w:ascii="Arial" w:hAnsi="Arial" w:cs="Arial"/>
          <w:b/>
          <w:sz w:val="20"/>
        </w:rPr>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 xml:space="preserve">Cena </w:t>
      </w:r>
      <w:r w:rsidR="004D61C8">
        <w:t>díla</w:t>
      </w:r>
    </w:p>
    <w:p w:rsidR="00850EF9" w:rsidRDefault="00850EF9" w:rsidP="000605ED">
      <w:pPr>
        <w:pStyle w:val="Zkladntextodsazen-slo"/>
        <w:keepNext/>
        <w:keepLines/>
        <w:numPr>
          <w:ilvl w:val="0"/>
          <w:numId w:val="0"/>
        </w:numPr>
      </w:pPr>
      <w:r w:rsidRPr="00B90F01">
        <w:t xml:space="preserve">Cena za </w:t>
      </w:r>
      <w:r w:rsidR="0086077C">
        <w:t xml:space="preserve">splnění </w:t>
      </w:r>
      <w:r w:rsidR="004D61C8">
        <w:t>díla</w:t>
      </w:r>
      <w:r w:rsidR="00505129">
        <w:t xml:space="preserve"> dle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0605ED">
      <w:pPr>
        <w:pStyle w:val="Zkladntextodsazen-slo"/>
        <w:keepNext/>
        <w:keepLines/>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0605ED">
            <w:pPr>
              <w:keepNext/>
              <w:jc w:val="left"/>
              <w:rPr>
                <w:szCs w:val="22"/>
              </w:rPr>
            </w:pPr>
            <w:r w:rsidRPr="006A7FCD">
              <w:rPr>
                <w:szCs w:val="22"/>
              </w:rPr>
              <w:t>P</w:t>
            </w:r>
            <w:r>
              <w:rPr>
                <w:szCs w:val="22"/>
              </w:rPr>
              <w:t>D</w:t>
            </w:r>
            <w:r w:rsidRPr="006A7FCD">
              <w:rPr>
                <w:szCs w:val="22"/>
              </w:rPr>
              <w:t xml:space="preserve"> pro územní řízení (DÚR)</w:t>
            </w:r>
          </w:p>
        </w:tc>
        <w:tc>
          <w:tcPr>
            <w:tcW w:w="2126" w:type="dxa"/>
            <w:vAlign w:val="center"/>
          </w:tcPr>
          <w:p w:rsidR="00FB0DBD" w:rsidRPr="006A7FCD" w:rsidRDefault="00FB0DBD" w:rsidP="000605ED">
            <w:pPr>
              <w:keepNext/>
              <w:jc w:val="right"/>
              <w:rPr>
                <w:color w:val="FF0000"/>
                <w:szCs w:val="22"/>
              </w:rPr>
            </w:pPr>
          </w:p>
        </w:tc>
        <w:tc>
          <w:tcPr>
            <w:tcW w:w="1701" w:type="dxa"/>
            <w:vAlign w:val="center"/>
          </w:tcPr>
          <w:p w:rsidR="00FB0DBD" w:rsidRPr="006A7FCD" w:rsidRDefault="00FB0DBD" w:rsidP="000605ED">
            <w:pPr>
              <w:keepNext/>
              <w:jc w:val="right"/>
              <w:rPr>
                <w:color w:val="FF0000"/>
                <w:szCs w:val="22"/>
              </w:rPr>
            </w:pPr>
          </w:p>
        </w:tc>
        <w:tc>
          <w:tcPr>
            <w:tcW w:w="2126" w:type="dxa"/>
            <w:vAlign w:val="center"/>
          </w:tcPr>
          <w:p w:rsidR="00FB0DBD" w:rsidRPr="006A7FCD" w:rsidRDefault="00FB0DBD" w:rsidP="000605ED">
            <w:pPr>
              <w:keepNext/>
              <w:jc w:val="right"/>
              <w:rPr>
                <w:color w:val="FF0000"/>
                <w:szCs w:val="22"/>
              </w:rPr>
            </w:pPr>
          </w:p>
        </w:tc>
      </w:tr>
    </w:tbl>
    <w:p w:rsidR="0092200A" w:rsidRDefault="0092200A" w:rsidP="000605ED">
      <w:pPr>
        <w:keepNext/>
      </w:pPr>
    </w:p>
    <w:p w:rsidR="00BC0E7D" w:rsidRPr="009018A7" w:rsidRDefault="00BC0E7D" w:rsidP="000605ED">
      <w:pPr>
        <w:keepNext/>
      </w:pPr>
    </w:p>
    <w:p w:rsidR="00850EF9" w:rsidRPr="005B4D5B" w:rsidRDefault="00850EF9" w:rsidP="000605ED">
      <w:pPr>
        <w:pStyle w:val="Nadpis2"/>
        <w:keepLines/>
        <w:numPr>
          <w:ilvl w:val="1"/>
          <w:numId w:val="9"/>
        </w:numPr>
        <w:spacing w:before="420"/>
        <w:ind w:left="0"/>
        <w:jc w:val="both"/>
      </w:pPr>
    </w:p>
    <w:p w:rsidR="00850EF9" w:rsidRPr="005B4D5B" w:rsidRDefault="00850EF9" w:rsidP="000605ED">
      <w:pPr>
        <w:pStyle w:val="Nadpis3"/>
        <w:keepLines/>
      </w:pPr>
      <w:r w:rsidRPr="005B4D5B">
        <w:t xml:space="preserve">Provádění </w:t>
      </w:r>
      <w:r w:rsidR="004D61C8">
        <w:t>díla</w:t>
      </w:r>
    </w:p>
    <w:p w:rsidR="00505129" w:rsidRDefault="00850EF9" w:rsidP="000605ED">
      <w:pPr>
        <w:pStyle w:val="Zkladntextodsazen-slo"/>
        <w:keepNext/>
        <w:keepLines/>
        <w:numPr>
          <w:ilvl w:val="0"/>
          <w:numId w:val="12"/>
        </w:numPr>
        <w:ind w:left="357" w:hanging="357"/>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0605ED">
      <w:pPr>
        <w:pStyle w:val="Zkladntextodsazen-slo"/>
        <w:keepNext/>
        <w:keepLines/>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0605ED">
      <w:pPr>
        <w:pStyle w:val="Zkladntextodsazen-slo"/>
        <w:keepNext/>
        <w:keepLines/>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0605ED">
      <w:pPr>
        <w:pStyle w:val="Zkladntextodsazen-slo"/>
        <w:keepNext/>
        <w:keepLines/>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0605ED">
      <w:pPr>
        <w:pStyle w:val="Zkladntextodsazen-slo"/>
        <w:keepNext/>
        <w:keepLines/>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0605ED">
      <w:pPr>
        <w:pStyle w:val="Zkladntextodsazen-slo"/>
        <w:keepNext/>
        <w:keepLines/>
        <w:numPr>
          <w:ilvl w:val="0"/>
          <w:numId w:val="0"/>
        </w:numPr>
        <w:ind w:left="357"/>
      </w:pPr>
    </w:p>
    <w:p w:rsidR="00A836EA" w:rsidRPr="005B4D5B" w:rsidRDefault="00A836EA" w:rsidP="000605ED">
      <w:pPr>
        <w:pStyle w:val="Nadpis2"/>
        <w:keepLines/>
        <w:spacing w:before="360"/>
        <w:ind w:left="0"/>
      </w:pPr>
    </w:p>
    <w:p w:rsidR="00A836EA" w:rsidRPr="005B4D5B" w:rsidRDefault="00A836EA" w:rsidP="000605ED">
      <w:pPr>
        <w:pStyle w:val="Nadpis3"/>
        <w:keepLines/>
      </w:pPr>
      <w:r>
        <w:t>P</w:t>
      </w:r>
      <w:r w:rsidRPr="005B4D5B">
        <w:t xml:space="preserve">ředání díla </w:t>
      </w:r>
    </w:p>
    <w:p w:rsidR="00F536D8" w:rsidRPr="00691EAC" w:rsidRDefault="00291B08" w:rsidP="000605ED">
      <w:pPr>
        <w:keepNext/>
        <w:keepLines/>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0605ED">
      <w:pPr>
        <w:keepNext/>
        <w:keepLines/>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0605ED">
      <w:pPr>
        <w:pStyle w:val="Odstavecseseznamem"/>
        <w:keepNext/>
        <w:keepLines/>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0605ED">
      <w:pPr>
        <w:keepNext/>
        <w:keepLines/>
        <w:numPr>
          <w:ilvl w:val="0"/>
          <w:numId w:val="8"/>
        </w:numPr>
      </w:pPr>
      <w:r w:rsidRPr="00123792">
        <w:t>Smluvní strany se dohodly na vylou</w:t>
      </w:r>
      <w:r w:rsidR="004F0498">
        <w:t xml:space="preserve">čení použití ustanovení § 2609 </w:t>
      </w:r>
      <w:r w:rsidRPr="00123792">
        <w:t>OZ.</w:t>
      </w:r>
    </w:p>
    <w:p w:rsidR="000605ED" w:rsidRDefault="000605ED" w:rsidP="000605ED">
      <w:pPr>
        <w:keepNext/>
        <w:keepLines/>
        <w:ind w:left="360"/>
      </w:pPr>
    </w:p>
    <w:p w:rsidR="00E61302" w:rsidRDefault="00E61302" w:rsidP="000605ED">
      <w:pPr>
        <w:keepNext/>
        <w:keepLines/>
        <w:ind w:left="360"/>
      </w:pPr>
    </w:p>
    <w:p w:rsidR="00850EF9" w:rsidRPr="005B4D5B" w:rsidRDefault="00850EF9" w:rsidP="000605ED">
      <w:pPr>
        <w:pStyle w:val="Nadpis2"/>
        <w:keepLines/>
        <w:spacing w:before="120"/>
        <w:ind w:left="0"/>
      </w:pPr>
    </w:p>
    <w:p w:rsidR="00850EF9" w:rsidRPr="005B4D5B" w:rsidRDefault="008162AC" w:rsidP="000605ED">
      <w:pPr>
        <w:pStyle w:val="Nadpis3"/>
        <w:keepLines/>
      </w:pPr>
      <w:r>
        <w:t>Práva z vadného plnění a záruka za jakost</w:t>
      </w:r>
    </w:p>
    <w:p w:rsidR="008162AC" w:rsidRPr="00AE515D" w:rsidRDefault="008162AC" w:rsidP="000605ED">
      <w:pPr>
        <w:pStyle w:val="Zkladntextodsazen-slo"/>
        <w:keepNext/>
        <w:keepLines/>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0605ED">
      <w:pPr>
        <w:pStyle w:val="Zkladntextodsazen-slo"/>
        <w:keepNext/>
        <w:keepLines/>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měsíců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min. </w:t>
      </w:r>
      <w:r w:rsidR="005309E9" w:rsidRPr="009B3123">
        <w:rPr>
          <w:rFonts w:ascii="Arial" w:hAnsi="Arial" w:cs="Arial"/>
          <w:b/>
          <w:sz w:val="20"/>
          <w:highlight w:val="yellow"/>
        </w:rPr>
        <w:t>60 měsíců)</w:t>
      </w:r>
      <w:r w:rsidR="005309E9" w:rsidRPr="00FA6C1D">
        <w:t>.</w:t>
      </w:r>
    </w:p>
    <w:p w:rsidR="008162AC" w:rsidRPr="00AE515D" w:rsidRDefault="008162AC" w:rsidP="000605ED">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0605ED">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0605ED">
      <w:pPr>
        <w:pStyle w:val="Zkladntextodsazen-slo"/>
        <w:keepNext/>
        <w:keepLines/>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Pr="002D2EF3" w:rsidRDefault="008162AC" w:rsidP="000605ED">
      <w:pPr>
        <w:pStyle w:val="Zkladntextodsazen-slo"/>
        <w:keepNext/>
        <w:keepLines/>
        <w:tabs>
          <w:tab w:val="clear" w:pos="284"/>
          <w:tab w:val="num" w:pos="567"/>
        </w:tabs>
        <w:ind w:left="357" w:hanging="357"/>
        <w:outlineLvl w:val="9"/>
      </w:pPr>
      <w:r w:rsidRPr="002D2EF3">
        <w:t>Neodstraní-li zhotovitel vady ve stanovené lhůtě, je objednatel oprávněn pověřit odstraněním vady jiný subjekt nebo odstranit vady sám a zhotovitel je povinen náklady takto vynaložené objednateli v plné výši uhradit.</w:t>
      </w:r>
    </w:p>
    <w:p w:rsidR="0079206C" w:rsidRPr="002D2EF3" w:rsidRDefault="0079206C" w:rsidP="0079206C">
      <w:pPr>
        <w:pStyle w:val="Zkladntextodsazen-slo"/>
      </w:pPr>
      <w:r w:rsidRPr="002D2EF3">
        <w:t xml:space="preserve">Zhotovitel je povinen odstranit vadu i v případech, kdy tuto svou povinnost vadu odstranit neuznává. Právo zhotovitele na případnou náhradu škody tím není dotčeno. </w:t>
      </w:r>
    </w:p>
    <w:p w:rsidR="00313E8C" w:rsidRDefault="008162AC" w:rsidP="0079206C">
      <w:pPr>
        <w:pStyle w:val="Zkladntextodsazen-slo"/>
      </w:pPr>
      <w:r w:rsidRPr="002D2EF3">
        <w:t>Oznámení o odstranění vady zhotovitel objednateli předá písemně</w:t>
      </w:r>
      <w:r>
        <w:t xml:space="preserve">. Na provedenou opravu v rámci záruky za jakost poskytne zhotovitel záruku </w:t>
      </w:r>
      <w:r w:rsidRPr="00852B01">
        <w:t>za jakost ve</w:t>
      </w:r>
      <w:r>
        <w:t xml:space="preserve"> stejné délce dle odst. 2 tohoto článku smlouvy.</w:t>
      </w:r>
    </w:p>
    <w:p w:rsidR="00850EF9" w:rsidRPr="00865C19" w:rsidRDefault="00850EF9" w:rsidP="000605ED">
      <w:pPr>
        <w:keepNext/>
        <w:spacing w:before="420"/>
        <w:jc w:val="left"/>
        <w:rPr>
          <w:rFonts w:ascii="Arial" w:hAnsi="Arial" w:cs="Arial"/>
          <w:b/>
          <w:sz w:val="28"/>
          <w:szCs w:val="28"/>
        </w:rPr>
      </w:pPr>
      <w:r w:rsidRPr="00865C19">
        <w:rPr>
          <w:rFonts w:ascii="Arial" w:hAnsi="Arial" w:cs="Arial"/>
          <w:b/>
          <w:sz w:val="28"/>
          <w:szCs w:val="28"/>
        </w:rPr>
        <w:lastRenderedPageBreak/>
        <w:t>Část C</w:t>
      </w:r>
    </w:p>
    <w:p w:rsidR="00850EF9" w:rsidRPr="00E13F57" w:rsidRDefault="00850EF9" w:rsidP="000605ED">
      <w:pPr>
        <w:pStyle w:val="Nadpis1"/>
        <w:spacing w:before="0" w:line="240" w:lineRule="auto"/>
      </w:pPr>
      <w:r w:rsidRPr="00E13F57">
        <w:t>Inženýrská činnost</w:t>
      </w:r>
      <w:r w:rsidR="00460E66">
        <w:t xml:space="preserve"> </w:t>
      </w:r>
    </w:p>
    <w:p w:rsidR="00850EF9" w:rsidRPr="005B4D5B" w:rsidRDefault="00850EF9" w:rsidP="000605ED">
      <w:pPr>
        <w:pStyle w:val="Nadpis2"/>
        <w:spacing w:before="240"/>
        <w:ind w:left="0"/>
      </w:pPr>
    </w:p>
    <w:p w:rsidR="00850EF9" w:rsidRPr="005B4D5B" w:rsidRDefault="00850EF9" w:rsidP="000605ED">
      <w:pPr>
        <w:pStyle w:val="Nadpis3"/>
        <w:spacing w:after="120" w:line="240" w:lineRule="auto"/>
      </w:pPr>
      <w:r w:rsidRPr="005B4D5B">
        <w:t>Předmět</w:t>
      </w:r>
    </w:p>
    <w:p w:rsidR="00850EF9" w:rsidRDefault="003E5C30" w:rsidP="00C8517B">
      <w:pPr>
        <w:pStyle w:val="Zkladntextodsazen-slo"/>
        <w:keepNext/>
        <w:numPr>
          <w:ilvl w:val="0"/>
          <w:numId w:val="1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C8517B" w:rsidRPr="00C8517B">
        <w:rPr>
          <w:rFonts w:ascii="Arial" w:hAnsi="Arial" w:cs="Arial"/>
          <w:b/>
          <w:iCs/>
          <w:color w:val="000000"/>
          <w:sz w:val="20"/>
        </w:rPr>
        <w:t>Revitalizace lesoparku Benátky a Hulváckého kopce</w:t>
      </w:r>
      <w:r w:rsidR="00583A81" w:rsidRPr="009B3123">
        <w:rPr>
          <w:rFonts w:ascii="Arial" w:hAnsi="Arial" w:cs="Arial"/>
          <w:b/>
          <w:sz w:val="20"/>
        </w:rPr>
        <w:t>“</w:t>
      </w:r>
      <w:r w:rsidR="00583A81">
        <w:t xml:space="preserve"> </w:t>
      </w:r>
      <w:r w:rsidR="00C92437">
        <w:t>(dále jen „stavba“)</w:t>
      </w:r>
      <w:r w:rsidR="00A836EA">
        <w:t>.</w:t>
      </w:r>
      <w:r w:rsidR="0097618C">
        <w:t xml:space="preserve"> </w:t>
      </w:r>
    </w:p>
    <w:p w:rsidR="000C0BA6" w:rsidRPr="005A33E6" w:rsidRDefault="000C0BA6" w:rsidP="000605ED">
      <w:pPr>
        <w:pStyle w:val="Zkladntextodsazen-slo"/>
        <w:keepNext/>
        <w:numPr>
          <w:ilvl w:val="0"/>
          <w:numId w:val="13"/>
        </w:numPr>
        <w:ind w:left="357" w:hanging="357"/>
      </w:pPr>
      <w:r w:rsidRPr="00082080">
        <w:t>Inženýrská činnost bude vykonávána v tomto rozsahu</w:t>
      </w:r>
      <w:r>
        <w:t>:</w:t>
      </w:r>
    </w:p>
    <w:p w:rsidR="000C0BA6" w:rsidRDefault="000C0BA6" w:rsidP="000605ED">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0605ED">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0605ED">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0605ED">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0605ED">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0605ED">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(t.j. kupní smlouvy, smlouvy o právu provést stavbu, smlouvy o zřízení věcného břemene, nájemní smlouvy, apod.),</w:t>
      </w:r>
    </w:p>
    <w:p w:rsidR="00CD4A48" w:rsidRPr="00691EAC" w:rsidRDefault="00CD4A48" w:rsidP="000605ED">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0605ED">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0605ED">
      <w:pPr>
        <w:keepNext/>
      </w:pPr>
    </w:p>
    <w:p w:rsidR="000605ED" w:rsidRPr="00E37F1B" w:rsidRDefault="000605ED" w:rsidP="000605ED">
      <w:pPr>
        <w:keepNext/>
      </w:pPr>
    </w:p>
    <w:p w:rsidR="00E37F1B" w:rsidRDefault="00E37F1B" w:rsidP="000605ED">
      <w:pPr>
        <w:pStyle w:val="Nadpis2"/>
        <w:tabs>
          <w:tab w:val="clear" w:pos="142"/>
          <w:tab w:val="num" w:pos="0"/>
        </w:tabs>
        <w:spacing w:before="60"/>
        <w:ind w:hanging="142"/>
      </w:pPr>
    </w:p>
    <w:p w:rsidR="00850EF9" w:rsidRPr="00E37F1B" w:rsidRDefault="00850EF9" w:rsidP="000605ED">
      <w:pPr>
        <w:pStyle w:val="Nadpis2"/>
        <w:numPr>
          <w:ilvl w:val="0"/>
          <w:numId w:val="0"/>
        </w:numPr>
        <w:tabs>
          <w:tab w:val="left" w:pos="284"/>
        </w:tabs>
        <w:spacing w:before="0" w:after="120"/>
      </w:pPr>
      <w:r w:rsidRPr="00E37F1B">
        <w:t>Doba plnění</w:t>
      </w:r>
    </w:p>
    <w:p w:rsidR="008729CA" w:rsidRPr="00E37F1B" w:rsidRDefault="00850EF9" w:rsidP="000605ED">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0605ED">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odsouhlasení </w:t>
      </w:r>
      <w:r w:rsidR="00860805">
        <w:t xml:space="preserve">příslušné části </w:t>
      </w:r>
      <w:r w:rsidR="008729CA" w:rsidRPr="00E37F1B">
        <w:t xml:space="preserve">projektové dokumentace pro územní řízení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0605ED">
      <w:pPr>
        <w:keepNext/>
        <w:tabs>
          <w:tab w:val="left" w:pos="284"/>
        </w:tabs>
      </w:pPr>
    </w:p>
    <w:p w:rsidR="000605ED" w:rsidRDefault="000605ED" w:rsidP="000605ED">
      <w:pPr>
        <w:keepNext/>
        <w:tabs>
          <w:tab w:val="left" w:pos="284"/>
        </w:tabs>
      </w:pPr>
    </w:p>
    <w:p w:rsidR="00E37F1B" w:rsidRDefault="00E37F1B" w:rsidP="000605ED">
      <w:pPr>
        <w:pStyle w:val="Nadpis2"/>
        <w:tabs>
          <w:tab w:val="left" w:pos="284"/>
        </w:tabs>
        <w:spacing w:before="60"/>
        <w:ind w:left="0"/>
      </w:pPr>
      <w:r>
        <w:tab/>
      </w:r>
    </w:p>
    <w:p w:rsidR="00E37F1B" w:rsidRDefault="00E37F1B" w:rsidP="000605ED">
      <w:pPr>
        <w:pStyle w:val="Nadpis2"/>
        <w:numPr>
          <w:ilvl w:val="0"/>
          <w:numId w:val="0"/>
        </w:numPr>
        <w:tabs>
          <w:tab w:val="left" w:pos="284"/>
        </w:tabs>
        <w:spacing w:before="0" w:after="120"/>
      </w:pPr>
      <w:r>
        <w:t>Plná moc</w:t>
      </w:r>
    </w:p>
    <w:p w:rsidR="00E37F1B" w:rsidRDefault="00E37F1B" w:rsidP="000605ED">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0605ED">
      <w:pPr>
        <w:pStyle w:val="Odstavecseseznamem"/>
        <w:keepNext/>
        <w:numPr>
          <w:ilvl w:val="0"/>
          <w:numId w:val="19"/>
        </w:numPr>
        <w:tabs>
          <w:tab w:val="left" w:pos="426"/>
        </w:tabs>
        <w:ind w:left="357" w:hanging="357"/>
      </w:pPr>
      <w:r>
        <w:t>Příkazník plnou moc v celém rozsahu přijímá.</w:t>
      </w:r>
    </w:p>
    <w:p w:rsidR="000605ED" w:rsidRDefault="000605ED" w:rsidP="00B1136E">
      <w:pPr>
        <w:keepNext/>
        <w:keepLines/>
        <w:tabs>
          <w:tab w:val="left" w:pos="426"/>
        </w:tabs>
      </w:pPr>
    </w:p>
    <w:p w:rsidR="007D6A75" w:rsidRDefault="007D6A75" w:rsidP="00B1136E">
      <w:pPr>
        <w:keepNext/>
        <w:keepLines/>
        <w:tabs>
          <w:tab w:val="left" w:pos="426"/>
        </w:tabs>
      </w:pPr>
    </w:p>
    <w:p w:rsidR="00545B46" w:rsidRDefault="00545B46" w:rsidP="00B1136E">
      <w:pPr>
        <w:keepNext/>
        <w:keepLines/>
        <w:tabs>
          <w:tab w:val="left" w:pos="426"/>
        </w:tabs>
      </w:pPr>
    </w:p>
    <w:p w:rsidR="00545B46" w:rsidRDefault="00545B46" w:rsidP="00B1136E">
      <w:pPr>
        <w:keepNext/>
        <w:keepLines/>
        <w:tabs>
          <w:tab w:val="left" w:pos="426"/>
        </w:tabs>
      </w:pPr>
    </w:p>
    <w:p w:rsidR="00E37F1B" w:rsidRDefault="00E37F1B" w:rsidP="000605ED">
      <w:pPr>
        <w:pStyle w:val="Nadpis2"/>
        <w:keepLines/>
        <w:tabs>
          <w:tab w:val="left" w:pos="284"/>
        </w:tabs>
        <w:spacing w:before="60"/>
        <w:ind w:left="0"/>
      </w:pPr>
    </w:p>
    <w:p w:rsidR="00E37F1B" w:rsidRDefault="00E37F1B" w:rsidP="000605ED">
      <w:pPr>
        <w:pStyle w:val="Nadpis2"/>
        <w:keepLines/>
        <w:numPr>
          <w:ilvl w:val="0"/>
          <w:numId w:val="0"/>
        </w:numPr>
        <w:tabs>
          <w:tab w:val="left" w:pos="284"/>
        </w:tabs>
        <w:spacing w:before="0" w:after="120"/>
      </w:pPr>
      <w:r>
        <w:t>Odměna</w:t>
      </w:r>
    </w:p>
    <w:p w:rsidR="001D3B80" w:rsidRDefault="00E37F1B" w:rsidP="000605ED">
      <w:pPr>
        <w:pStyle w:val="Odstavecseseznamem"/>
        <w:keepNext/>
        <w:keepLines/>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0605ED">
      <w:pPr>
        <w:pStyle w:val="Zkladntextodsazen-slo"/>
        <w:keepNext/>
        <w:keepLines/>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0605ED">
            <w:pPr>
              <w:keepNext/>
              <w:jc w:val="left"/>
              <w:rPr>
                <w:szCs w:val="22"/>
              </w:rPr>
            </w:pPr>
            <w:r>
              <w:rPr>
                <w:szCs w:val="22"/>
              </w:rPr>
              <w:t>IČ pro územní rozhodnutí</w:t>
            </w:r>
          </w:p>
        </w:tc>
        <w:tc>
          <w:tcPr>
            <w:tcW w:w="2126" w:type="dxa"/>
            <w:vAlign w:val="center"/>
          </w:tcPr>
          <w:p w:rsidR="000605ED" w:rsidRPr="006A7FCD" w:rsidRDefault="000605ED" w:rsidP="000605ED">
            <w:pPr>
              <w:keepNext/>
              <w:jc w:val="right"/>
              <w:rPr>
                <w:color w:val="FF0000"/>
                <w:szCs w:val="22"/>
              </w:rPr>
            </w:pPr>
          </w:p>
        </w:tc>
        <w:tc>
          <w:tcPr>
            <w:tcW w:w="1701" w:type="dxa"/>
            <w:vAlign w:val="center"/>
          </w:tcPr>
          <w:p w:rsidR="000605ED" w:rsidRPr="006A7FCD" w:rsidRDefault="000605ED" w:rsidP="000605ED">
            <w:pPr>
              <w:keepNext/>
              <w:jc w:val="right"/>
              <w:rPr>
                <w:color w:val="FF0000"/>
                <w:szCs w:val="22"/>
              </w:rPr>
            </w:pPr>
          </w:p>
        </w:tc>
        <w:tc>
          <w:tcPr>
            <w:tcW w:w="2126" w:type="dxa"/>
            <w:vAlign w:val="center"/>
          </w:tcPr>
          <w:p w:rsidR="000605ED" w:rsidRPr="006A7FCD" w:rsidRDefault="000605ED" w:rsidP="000605ED">
            <w:pPr>
              <w:keepNext/>
              <w:jc w:val="right"/>
              <w:rPr>
                <w:color w:val="FF0000"/>
                <w:szCs w:val="22"/>
              </w:rPr>
            </w:pPr>
          </w:p>
        </w:tc>
      </w:tr>
    </w:tbl>
    <w:p w:rsidR="00A36134" w:rsidRDefault="00A36134" w:rsidP="000605ED">
      <w:pPr>
        <w:keepNext/>
      </w:pPr>
    </w:p>
    <w:p w:rsidR="004F783B" w:rsidRPr="00A36134" w:rsidRDefault="004F783B" w:rsidP="000605ED">
      <w:pPr>
        <w:keepNext/>
      </w:pPr>
    </w:p>
    <w:p w:rsidR="00E37F1B" w:rsidRDefault="00E37F1B" w:rsidP="000605ED">
      <w:pPr>
        <w:pStyle w:val="Nadpis2"/>
        <w:keepLines/>
        <w:numPr>
          <w:ilvl w:val="1"/>
          <w:numId w:val="10"/>
        </w:numPr>
        <w:tabs>
          <w:tab w:val="clear" w:pos="142"/>
          <w:tab w:val="num" w:pos="0"/>
        </w:tabs>
        <w:spacing w:before="0"/>
        <w:ind w:left="0"/>
      </w:pPr>
    </w:p>
    <w:p w:rsidR="00E37F1B" w:rsidRPr="00E37F1B" w:rsidRDefault="00E37F1B" w:rsidP="000605ED">
      <w:pPr>
        <w:pStyle w:val="Nadpis2"/>
        <w:keepLines/>
        <w:numPr>
          <w:ilvl w:val="0"/>
          <w:numId w:val="0"/>
        </w:numPr>
        <w:tabs>
          <w:tab w:val="num" w:pos="0"/>
        </w:tabs>
        <w:spacing w:before="0" w:after="120"/>
      </w:pPr>
      <w:r>
        <w:t>Povinnosti příkazce</w:t>
      </w:r>
    </w:p>
    <w:p w:rsidR="00E37F1B" w:rsidRDefault="00E37F1B" w:rsidP="000605ED">
      <w:pPr>
        <w:pStyle w:val="Zkladntextodsazen-slo"/>
        <w:keepNext/>
        <w:keepLines/>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0605ED">
      <w:pPr>
        <w:pStyle w:val="Zkladntextodsazen-slo"/>
        <w:keepNext/>
        <w:keepLines/>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0605ED">
      <w:pPr>
        <w:pStyle w:val="Odstavecseseznamem"/>
        <w:keepNext/>
        <w:keepLines/>
        <w:tabs>
          <w:tab w:val="num" w:pos="0"/>
        </w:tabs>
        <w:ind w:left="0"/>
      </w:pPr>
      <w:r>
        <w:tab/>
      </w:r>
    </w:p>
    <w:p w:rsidR="004F783B" w:rsidRDefault="004F783B" w:rsidP="000605ED">
      <w:pPr>
        <w:pStyle w:val="Odstavecseseznamem"/>
        <w:keepNext/>
        <w:keepLines/>
        <w:tabs>
          <w:tab w:val="num" w:pos="0"/>
        </w:tabs>
        <w:ind w:left="0"/>
      </w:pPr>
    </w:p>
    <w:p w:rsidR="00102D3A" w:rsidRDefault="00102D3A" w:rsidP="000605ED">
      <w:pPr>
        <w:pStyle w:val="Nadpis2"/>
        <w:keepLines/>
        <w:tabs>
          <w:tab w:val="clear" w:pos="142"/>
          <w:tab w:val="num" w:pos="0"/>
        </w:tabs>
        <w:spacing w:before="60"/>
        <w:ind w:left="0"/>
      </w:pPr>
    </w:p>
    <w:p w:rsidR="00102D3A" w:rsidRDefault="00E37F1B" w:rsidP="000605ED">
      <w:pPr>
        <w:pStyle w:val="Nadpis2"/>
        <w:keepLines/>
        <w:numPr>
          <w:ilvl w:val="0"/>
          <w:numId w:val="0"/>
        </w:numPr>
        <w:tabs>
          <w:tab w:val="num" w:pos="0"/>
        </w:tabs>
        <w:spacing w:before="0" w:after="120"/>
      </w:pPr>
      <w:r>
        <w:t>Povinnosti příkazníka</w:t>
      </w:r>
    </w:p>
    <w:p w:rsidR="00E37F1B" w:rsidRDefault="00E37F1B" w:rsidP="000605ED">
      <w:pPr>
        <w:pStyle w:val="Odstavecseseznamem"/>
        <w:keepNext/>
        <w:keepLines/>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0605ED">
      <w:pPr>
        <w:pStyle w:val="Odstavecseseznamem"/>
        <w:keepNext/>
        <w:keepLines/>
        <w:numPr>
          <w:ilvl w:val="0"/>
          <w:numId w:val="21"/>
        </w:numPr>
        <w:ind w:left="357" w:hanging="357"/>
      </w:pPr>
      <w:r>
        <w:t>Příkazník je povinen se řídit pokyny příkazce a jednat v jeho zájmu.</w:t>
      </w:r>
    </w:p>
    <w:p w:rsidR="00E37F1B" w:rsidRDefault="00E37F1B" w:rsidP="000605ED">
      <w:pPr>
        <w:pStyle w:val="Odstavecseseznamem"/>
        <w:keepNext/>
        <w:keepLines/>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0605ED">
      <w:pPr>
        <w:pStyle w:val="Odstavecseseznamem"/>
        <w:keepNext/>
        <w:keepLines/>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0605ED">
      <w:pPr>
        <w:pStyle w:val="Odstavecseseznamem"/>
        <w:keepNext/>
        <w:keepLines/>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0605ED">
      <w:pPr>
        <w:pStyle w:val="Odstavecseseznamem"/>
        <w:keepNext/>
        <w:keepLines/>
        <w:numPr>
          <w:ilvl w:val="0"/>
          <w:numId w:val="21"/>
        </w:numPr>
        <w:ind w:left="357" w:hanging="357"/>
      </w:pPr>
      <w:r>
        <w:t xml:space="preserve">Příkazník je povinen předkládat příkazci k odsouhlasení rozhodující písemnosti. </w:t>
      </w:r>
    </w:p>
    <w:p w:rsidR="00E37F1B" w:rsidRDefault="00E37F1B" w:rsidP="000605ED">
      <w:pPr>
        <w:pStyle w:val="Odstavecseseznamem"/>
        <w:keepNext/>
        <w:keepLines/>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0605ED">
      <w:pPr>
        <w:pStyle w:val="Odstavecseseznamem"/>
        <w:keepNext/>
        <w:keepLines/>
        <w:numPr>
          <w:ilvl w:val="0"/>
          <w:numId w:val="21"/>
        </w:numPr>
        <w:ind w:left="357" w:hanging="357"/>
      </w:pPr>
      <w:r>
        <w:t>Příkazník je povinen bez odkladů oznámit příkazci veškeré skutečnosti, které by mohly vést ke změně pokynů příkazce.</w:t>
      </w:r>
    </w:p>
    <w:p w:rsidR="00E37F1B" w:rsidRDefault="001D3B80" w:rsidP="000605ED">
      <w:pPr>
        <w:pStyle w:val="Odstavecseseznamem"/>
        <w:keepNext/>
        <w:keepLines/>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0605ED">
      <w:pPr>
        <w:pStyle w:val="Nadpis1"/>
        <w:keepLines/>
        <w:spacing w:before="420" w:line="240" w:lineRule="auto"/>
      </w:pPr>
      <w:r w:rsidRPr="00C52956">
        <w:t>Část D</w:t>
      </w:r>
    </w:p>
    <w:p w:rsidR="00C833D1" w:rsidRPr="00C52956" w:rsidRDefault="00C833D1" w:rsidP="000605ED">
      <w:pPr>
        <w:pStyle w:val="Nadpis1"/>
        <w:keepLines/>
        <w:spacing w:before="0" w:line="240" w:lineRule="auto"/>
      </w:pPr>
      <w:r w:rsidRPr="00C52956">
        <w:t>Společná ustanovení pro část B a C</w:t>
      </w:r>
    </w:p>
    <w:p w:rsidR="00C833D1" w:rsidRPr="005B4D5B" w:rsidRDefault="00C833D1" w:rsidP="000605ED">
      <w:pPr>
        <w:pStyle w:val="Nadpis2"/>
        <w:keepLines/>
        <w:spacing w:before="240"/>
        <w:ind w:left="0"/>
      </w:pPr>
    </w:p>
    <w:p w:rsidR="00C833D1" w:rsidRPr="006D6ED9" w:rsidRDefault="00C833D1" w:rsidP="000605ED">
      <w:pPr>
        <w:pStyle w:val="Nadpis3"/>
        <w:keepLines/>
      </w:pPr>
      <w:r w:rsidRPr="006D6ED9">
        <w:t>Cenová ujednání</w:t>
      </w:r>
    </w:p>
    <w:p w:rsidR="00C833D1" w:rsidRPr="00793CEA" w:rsidRDefault="00C833D1" w:rsidP="000605ED">
      <w:pPr>
        <w:pStyle w:val="Zkladntextodsazen-slo"/>
        <w:keepNext/>
        <w:keepLines/>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0605ED">
      <w:pPr>
        <w:pStyle w:val="Zkladntextodsazen-slo"/>
        <w:keepNext/>
        <w:keepLines/>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0605ED">
      <w:pPr>
        <w:pStyle w:val="Zkladntextodsazen-slo"/>
        <w:keepNext/>
        <w:keepLines/>
        <w:numPr>
          <w:ilvl w:val="0"/>
          <w:numId w:val="0"/>
        </w:numPr>
        <w:tabs>
          <w:tab w:val="left" w:pos="3402"/>
          <w:tab w:val="right" w:leader="dot" w:pos="5812"/>
        </w:tabs>
        <w:ind w:left="357"/>
      </w:pPr>
      <w:r w:rsidRPr="00665B00">
        <w:t>DPH</w:t>
      </w:r>
      <w:r w:rsidRPr="00665B00">
        <w:tab/>
        <w:t xml:space="preserve">                  </w:t>
      </w:r>
      <w:r w:rsidR="00216F22">
        <w:t>,-</w:t>
      </w:r>
      <w:r w:rsidRPr="00665B00">
        <w:t>Kč</w:t>
      </w:r>
    </w:p>
    <w:p w:rsidR="00C833D1" w:rsidRPr="00A36134" w:rsidRDefault="00C833D1" w:rsidP="000605ED">
      <w:pPr>
        <w:pStyle w:val="Zkladntextodsazen-slo"/>
        <w:keepNext/>
        <w:keepLines/>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0605ED">
      <w:pPr>
        <w:pStyle w:val="Zkladntextodsazen-slo"/>
        <w:keepNext/>
        <w:keepLines/>
        <w:numPr>
          <w:ilvl w:val="0"/>
          <w:numId w:val="23"/>
        </w:numPr>
        <w:ind w:left="357" w:hanging="357"/>
        <w:outlineLvl w:val="9"/>
      </w:pPr>
      <w:r>
        <w:rPr>
          <w:color w:val="000000"/>
        </w:rPr>
        <w:lastRenderedPageBreak/>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0605ED">
      <w:pPr>
        <w:pStyle w:val="Zkladntextodsazen-slo"/>
        <w:keepNext/>
        <w:keepLines/>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0605ED">
      <w:pPr>
        <w:pStyle w:val="Zkladntextodsazen-slo"/>
        <w:keepNext/>
        <w:keepLines/>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0605ED">
      <w:pPr>
        <w:pStyle w:val="Zkladntextodsazen-slo"/>
        <w:keepNext/>
        <w:keepLines/>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0605ED">
      <w:pPr>
        <w:pStyle w:val="Zkladntextodsazen-slo"/>
        <w:keepNext/>
        <w:keepLines/>
        <w:numPr>
          <w:ilvl w:val="0"/>
          <w:numId w:val="23"/>
        </w:numPr>
        <w:ind w:left="357" w:hanging="357"/>
        <w:outlineLvl w:val="9"/>
      </w:pPr>
      <w:r w:rsidRPr="009860F1">
        <w:t>Smluvní strany se dohodly, že vylučují pou</w:t>
      </w:r>
      <w:r w:rsidR="004F0498">
        <w:t xml:space="preserve">žití ustanovení § 2620 odst. 2 </w:t>
      </w:r>
      <w:r w:rsidRPr="009860F1">
        <w:t>OZ</w:t>
      </w:r>
      <w:r w:rsidR="00C9060E">
        <w:t xml:space="preserve"> a § 2436 OZ</w:t>
      </w:r>
      <w:r w:rsidRPr="009860F1">
        <w:t>.</w:t>
      </w:r>
    </w:p>
    <w:p w:rsidR="000605ED" w:rsidRDefault="000605ED" w:rsidP="000605ED">
      <w:pPr>
        <w:pStyle w:val="Zkladntextodsazen-slo"/>
        <w:keepNext/>
        <w:keepLines/>
        <w:numPr>
          <w:ilvl w:val="0"/>
          <w:numId w:val="0"/>
        </w:numPr>
        <w:ind w:left="357"/>
        <w:outlineLvl w:val="9"/>
      </w:pPr>
    </w:p>
    <w:p w:rsidR="000605ED" w:rsidRDefault="000605ED" w:rsidP="000605ED">
      <w:pPr>
        <w:pStyle w:val="Zkladntextodsazen-slo"/>
        <w:keepNext/>
        <w:keepLines/>
        <w:numPr>
          <w:ilvl w:val="0"/>
          <w:numId w:val="0"/>
        </w:numPr>
        <w:ind w:left="357"/>
        <w:outlineLvl w:val="9"/>
      </w:pPr>
    </w:p>
    <w:p w:rsidR="00937DE9" w:rsidRPr="00937DE9" w:rsidRDefault="00937DE9" w:rsidP="000605ED">
      <w:pPr>
        <w:keepNext/>
        <w:keepLines/>
        <w:numPr>
          <w:ilvl w:val="1"/>
          <w:numId w:val="1"/>
        </w:numPr>
        <w:ind w:hanging="142"/>
        <w:rPr>
          <w:b/>
          <w:bCs/>
        </w:rPr>
      </w:pPr>
    </w:p>
    <w:p w:rsidR="00937DE9" w:rsidRPr="00937DE9" w:rsidRDefault="00937DE9" w:rsidP="000605ED">
      <w:pPr>
        <w:pStyle w:val="Nadpis3"/>
        <w:keepLines/>
        <w:spacing w:after="60" w:line="240" w:lineRule="auto"/>
      </w:pPr>
      <w:r w:rsidRPr="00937DE9">
        <w:t>Platební podmínky</w:t>
      </w:r>
    </w:p>
    <w:p w:rsidR="00937DE9" w:rsidRPr="00937DE9" w:rsidRDefault="00937DE9" w:rsidP="000605ED">
      <w:pPr>
        <w:pStyle w:val="Odstavecseseznamem"/>
        <w:keepNext/>
        <w:keepLines/>
        <w:numPr>
          <w:ilvl w:val="0"/>
          <w:numId w:val="24"/>
        </w:numPr>
        <w:ind w:left="357" w:hanging="357"/>
      </w:pPr>
      <w:r w:rsidRPr="00937DE9">
        <w:t>Zálohy nejsou sjednány.</w:t>
      </w:r>
    </w:p>
    <w:p w:rsidR="00937DE9" w:rsidRPr="00937DE9" w:rsidRDefault="00937DE9" w:rsidP="000605ED">
      <w:pPr>
        <w:pStyle w:val="Odstavecseseznamem"/>
        <w:keepNext/>
        <w:keepLines/>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0605ED">
      <w:pPr>
        <w:pStyle w:val="Odstavecseseznamem"/>
        <w:keepNext/>
        <w:keepLines/>
        <w:numPr>
          <w:ilvl w:val="0"/>
          <w:numId w:val="24"/>
        </w:numPr>
        <w:ind w:left="357" w:hanging="357"/>
      </w:pPr>
      <w:r w:rsidRPr="00937DE9">
        <w:t>Podkladem pro úhradu smluvní ceny nebo úplaty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0605ED">
      <w:pPr>
        <w:pStyle w:val="Odstavecseseznamem"/>
        <w:keepNext/>
        <w:keepLines/>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9060E">
        <w:t>5</w:t>
      </w:r>
      <w:r w:rsidRPr="00B90F01">
        <w:t xml:space="preserve"> tohoto článku smlouvy.</w:t>
      </w:r>
    </w:p>
    <w:p w:rsidR="00937DE9" w:rsidRPr="00937DE9" w:rsidRDefault="00937DE9" w:rsidP="000605ED">
      <w:pPr>
        <w:pStyle w:val="Odstavecseseznamem"/>
        <w:keepNext/>
        <w:keepLines/>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0605ED">
      <w:pPr>
        <w:keepNext/>
        <w:keepLines/>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4F783B">
        <w:rPr>
          <w:bCs/>
          <w:szCs w:val="22"/>
        </w:rPr>
        <w:t>7</w:t>
      </w:r>
      <w:r w:rsidR="00FB4A47" w:rsidRPr="000C2FAC">
        <w:rPr>
          <w:bCs/>
          <w:szCs w:val="22"/>
        </w:rPr>
        <w:t>V00000</w:t>
      </w:r>
      <w:r w:rsidR="00BC0E7D">
        <w:rPr>
          <w:bCs/>
          <w:szCs w:val="22"/>
        </w:rPr>
        <w:t>129</w:t>
      </w:r>
      <w:r w:rsidR="00C05DDE">
        <w:rPr>
          <w:bCs/>
          <w:szCs w:val="22"/>
        </w:rPr>
        <w:t xml:space="preserve"> a číslo investiční akce ORG </w:t>
      </w:r>
      <w:r w:rsidR="00B1136E">
        <w:rPr>
          <w:bCs/>
          <w:szCs w:val="22"/>
        </w:rPr>
        <w:t>8212</w:t>
      </w:r>
      <w:r w:rsidR="00FB4A47">
        <w:rPr>
          <w:bCs/>
          <w:szCs w:val="22"/>
        </w:rPr>
        <w:t>,</w:t>
      </w:r>
    </w:p>
    <w:p w:rsidR="00937DE9" w:rsidRPr="00937DE9" w:rsidRDefault="00937DE9" w:rsidP="000605ED">
      <w:pPr>
        <w:keepNext/>
        <w:keepLines/>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0605ED">
      <w:pPr>
        <w:keepNext/>
        <w:keepLines/>
        <w:numPr>
          <w:ilvl w:val="0"/>
          <w:numId w:val="4"/>
        </w:numPr>
        <w:ind w:left="714" w:hanging="357"/>
      </w:pPr>
      <w:r w:rsidRPr="00937DE9">
        <w:t>obchodní firma, sídlo, IČO a DIČ zhotovitele (příkazníka),</w:t>
      </w:r>
    </w:p>
    <w:p w:rsidR="00937DE9" w:rsidRPr="00937DE9" w:rsidRDefault="00937DE9" w:rsidP="000605ED">
      <w:pPr>
        <w:keepNext/>
        <w:keepLines/>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0605ED">
      <w:pPr>
        <w:keepNext/>
        <w:keepLines/>
        <w:numPr>
          <w:ilvl w:val="0"/>
          <w:numId w:val="4"/>
        </w:numPr>
        <w:ind w:left="714" w:hanging="357"/>
      </w:pPr>
      <w:r w:rsidRPr="00937DE9">
        <w:t>číslo a datum vystavení faktury,</w:t>
      </w:r>
    </w:p>
    <w:p w:rsidR="00937DE9" w:rsidRPr="00937DE9" w:rsidRDefault="00937DE9" w:rsidP="000605ED">
      <w:pPr>
        <w:keepNext/>
        <w:keepLines/>
        <w:numPr>
          <w:ilvl w:val="0"/>
          <w:numId w:val="4"/>
        </w:numPr>
        <w:ind w:left="714" w:hanging="357"/>
      </w:pPr>
      <w:r w:rsidRPr="00937DE9">
        <w:t>dobu splatnosti faktury,</w:t>
      </w:r>
    </w:p>
    <w:p w:rsidR="00937DE9" w:rsidRDefault="00937DE9" w:rsidP="000605ED">
      <w:pPr>
        <w:keepNext/>
        <w:keepLines/>
        <w:numPr>
          <w:ilvl w:val="0"/>
          <w:numId w:val="4"/>
        </w:numPr>
        <w:ind w:left="714" w:hanging="357"/>
      </w:pPr>
      <w:r w:rsidRPr="00937DE9">
        <w:t>soupis provedených prací,</w:t>
      </w:r>
    </w:p>
    <w:p w:rsidR="00E36AF7" w:rsidRDefault="00E36AF7" w:rsidP="000605ED">
      <w:pPr>
        <w:keepNext/>
        <w:keepLines/>
        <w:numPr>
          <w:ilvl w:val="0"/>
          <w:numId w:val="4"/>
        </w:numPr>
        <w:ind w:left="714" w:hanging="357"/>
      </w:pPr>
      <w:r w:rsidRPr="00E36AF7">
        <w:t xml:space="preserve">označení banky a číslo účtu, na který musí být zaplaceno, </w:t>
      </w:r>
    </w:p>
    <w:p w:rsidR="00E36AF7" w:rsidRDefault="00E36AF7" w:rsidP="000605ED">
      <w:pPr>
        <w:keepNext/>
        <w:keepLines/>
        <w:numPr>
          <w:ilvl w:val="0"/>
          <w:numId w:val="4"/>
        </w:numPr>
        <w:ind w:left="714" w:hanging="357"/>
      </w:pPr>
      <w:r w:rsidRPr="00E36AF7">
        <w:t>kopie dokladů vynaložených nákladů, odsouhlasených objednatelem (</w:t>
      </w:r>
      <w:r w:rsidRPr="00AD5E70">
        <w:rPr>
          <w:szCs w:val="22"/>
        </w:rPr>
        <w:t>příkazcem</w:t>
      </w:r>
      <w:r w:rsidRPr="00E36AF7">
        <w:t>),</w:t>
      </w:r>
    </w:p>
    <w:p w:rsidR="0079206C" w:rsidRDefault="00FB4A47" w:rsidP="0079206C">
      <w:pPr>
        <w:keepNext/>
        <w:keepLines/>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79206C" w:rsidRDefault="0079206C" w:rsidP="0079206C">
      <w:pPr>
        <w:pStyle w:val="Odstavecseseznamem"/>
        <w:keepNext/>
        <w:keepLines/>
        <w:numPr>
          <w:ilvl w:val="0"/>
          <w:numId w:val="36"/>
        </w:numPr>
      </w:pPr>
      <w:r w:rsidRPr="0079206C">
        <w:t>Doba splatnosti faktury je 30 kalendářních dnů po jejím doručení objednateli. Pro placení jiných plateb (např. úroky z prodlení, smluvní pokuty, náhrady újmy aj.</w:t>
      </w:r>
      <w:r>
        <w:t xml:space="preserve">) si smluvní strany sjednávají </w:t>
      </w:r>
      <w:r w:rsidRPr="0079206C">
        <w:t>10 denní dobu splatnosti.</w:t>
      </w:r>
    </w:p>
    <w:p w:rsidR="0079206C" w:rsidRDefault="00850EF9" w:rsidP="0079206C">
      <w:pPr>
        <w:pStyle w:val="Odstavecseseznamem"/>
        <w:keepNext/>
        <w:keepLines/>
        <w:numPr>
          <w:ilvl w:val="0"/>
          <w:numId w:val="36"/>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79206C" w:rsidRDefault="00C05DDE" w:rsidP="0079206C">
      <w:pPr>
        <w:pStyle w:val="Odstavecseseznamem"/>
        <w:keepNext/>
        <w:keepLines/>
        <w:numPr>
          <w:ilvl w:val="0"/>
          <w:numId w:val="36"/>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9206C" w:rsidRDefault="00710BC4" w:rsidP="0079206C">
      <w:pPr>
        <w:pStyle w:val="Odstavecseseznamem"/>
        <w:keepNext/>
        <w:keepLines/>
        <w:numPr>
          <w:ilvl w:val="0"/>
          <w:numId w:val="36"/>
        </w:numPr>
      </w:pPr>
      <w:r w:rsidRPr="006D6ED9">
        <w:lastRenderedPageBreak/>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79206C" w:rsidRDefault="00311DE8" w:rsidP="0079206C">
      <w:pPr>
        <w:pStyle w:val="Odstavecseseznamem"/>
        <w:keepNext/>
        <w:keepLines/>
        <w:numPr>
          <w:ilvl w:val="0"/>
          <w:numId w:val="36"/>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79206C" w:rsidRDefault="00311DE8" w:rsidP="0079206C">
      <w:pPr>
        <w:pStyle w:val="Odstavecseseznamem"/>
        <w:keepNext/>
        <w:keepLines/>
        <w:numPr>
          <w:ilvl w:val="0"/>
          <w:numId w:val="36"/>
        </w:numPr>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79206C" w:rsidRDefault="00311DE8" w:rsidP="0079206C">
      <w:pPr>
        <w:pStyle w:val="Odstavecseseznamem"/>
        <w:keepNext/>
        <w:keepLines/>
        <w:numPr>
          <w:ilvl w:val="0"/>
          <w:numId w:val="36"/>
        </w:numPr>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79206C" w:rsidRDefault="00421D79" w:rsidP="0079206C">
      <w:pPr>
        <w:pStyle w:val="Odstavecseseznamem"/>
        <w:keepNext/>
        <w:keepLines/>
        <w:numPr>
          <w:ilvl w:val="0"/>
          <w:numId w:val="36"/>
        </w:numPr>
      </w:pPr>
      <w:r w:rsidRPr="00421D79">
        <w:t xml:space="preserve">V případě fakturace v režimu přenesené daňové působnosti se odstavec 11 věta </w:t>
      </w:r>
      <w:r w:rsidR="003E23A8" w:rsidRPr="00421D79">
        <w:t>druhá</w:t>
      </w:r>
      <w:r w:rsidR="003E23A8">
        <w:t xml:space="preserve">, </w:t>
      </w:r>
      <w:r w:rsidR="003E23A8" w:rsidRPr="00421D79">
        <w:t>třetí</w:t>
      </w:r>
      <w:r w:rsidRPr="00421D79">
        <w:t xml:space="preserve"> a odstavec 12 tohoto článku neužijí.</w:t>
      </w:r>
    </w:p>
    <w:p w:rsidR="0079206C" w:rsidRDefault="00950A3D" w:rsidP="0079206C">
      <w:pPr>
        <w:pStyle w:val="Odstavecseseznamem"/>
        <w:keepNext/>
        <w:keepLines/>
        <w:numPr>
          <w:ilvl w:val="0"/>
          <w:numId w:val="36"/>
        </w:numPr>
      </w:pPr>
      <w:r w:rsidRPr="006D6ED9">
        <w:t>Povinnost zaplatit je splněna odepsáním příslušné částky z účtu objednatele (</w:t>
      </w:r>
      <w:r w:rsidR="00DF0634" w:rsidRPr="006D6ED9">
        <w:t>příkazce</w:t>
      </w:r>
      <w:r w:rsidRPr="006D6ED9">
        <w:t>).</w:t>
      </w:r>
    </w:p>
    <w:p w:rsidR="00850EF9" w:rsidRPr="00B26655" w:rsidRDefault="00850EF9" w:rsidP="0079206C">
      <w:pPr>
        <w:pStyle w:val="Odstavecseseznamem"/>
        <w:keepNext/>
        <w:keepLines/>
        <w:numPr>
          <w:ilvl w:val="0"/>
          <w:numId w:val="36"/>
        </w:numPr>
      </w:pPr>
      <w:r w:rsidRPr="00B26655">
        <w:t xml:space="preserve">Smluvní strany se dohodly na tomto způsobu placení: </w:t>
      </w:r>
    </w:p>
    <w:p w:rsidR="008D1687" w:rsidRPr="0023442A" w:rsidRDefault="002F72C1" w:rsidP="000605ED">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0605ED">
      <w:pPr>
        <w:pStyle w:val="Odstavecseseznamem1"/>
        <w:keepNext/>
        <w:keepLines/>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8930D2" w:rsidRPr="00791F06">
        <w:rPr>
          <w:szCs w:val="22"/>
        </w:rPr>
        <w:t>p</w:t>
      </w:r>
      <w:r w:rsidR="00743A9C" w:rsidRPr="00791F06">
        <w:t xml:space="preserve">rojektové dokumentace pro </w:t>
      </w:r>
      <w:r w:rsidR="008930D2" w:rsidRPr="00791F06">
        <w:t xml:space="preserve">územní řízení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0605ED">
      <w:pPr>
        <w:keepNext/>
        <w:keepLines/>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0605ED">
      <w:pPr>
        <w:pStyle w:val="Odstavecseseznamem1"/>
        <w:keepNext/>
        <w:keepLines/>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Pr="0023442A" w:rsidRDefault="000605ED" w:rsidP="000605ED">
      <w:pPr>
        <w:pStyle w:val="Odstavecseseznamem1"/>
        <w:keepNext/>
        <w:keepLines/>
        <w:ind w:left="794"/>
      </w:pPr>
    </w:p>
    <w:p w:rsidR="00FB7ACC" w:rsidRPr="002A4676" w:rsidRDefault="00FB7ACC" w:rsidP="000605ED">
      <w:pPr>
        <w:pStyle w:val="Nadpis2"/>
        <w:keepLines/>
        <w:spacing w:before="300"/>
        <w:ind w:left="0"/>
      </w:pPr>
    </w:p>
    <w:p w:rsidR="00FB7ACC" w:rsidRPr="005B4D5B" w:rsidRDefault="00315B89" w:rsidP="000605ED">
      <w:pPr>
        <w:pStyle w:val="Nadpis3"/>
        <w:keepLines/>
      </w:pPr>
      <w:r w:rsidRPr="002A4676">
        <w:t>Náhrada újmy</w:t>
      </w:r>
    </w:p>
    <w:p w:rsidR="00FB7ACC" w:rsidRPr="00315B89" w:rsidRDefault="00FB7ACC" w:rsidP="000605ED">
      <w:pPr>
        <w:pStyle w:val="Zkladntextodsazen-slo"/>
        <w:keepNext/>
        <w:keepLines/>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0605ED">
      <w:pPr>
        <w:pStyle w:val="Zkladntextodsazen-slo"/>
        <w:keepNext/>
        <w:keepLines/>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0605ED">
      <w:pPr>
        <w:pStyle w:val="Zkladntextodsazen-slo"/>
        <w:keepNext/>
        <w:keepLines/>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0605ED">
      <w:pPr>
        <w:pStyle w:val="Zkladntextodsazen-slo"/>
        <w:keepNext/>
        <w:keepLines/>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0605ED">
      <w:pPr>
        <w:pStyle w:val="Zkladntextodsazen-slo"/>
        <w:keepNext/>
        <w:keepLines/>
        <w:numPr>
          <w:ilvl w:val="0"/>
          <w:numId w:val="0"/>
        </w:numPr>
        <w:ind w:left="357"/>
        <w:outlineLvl w:val="9"/>
        <w:rPr>
          <w:color w:val="000000"/>
        </w:rPr>
      </w:pPr>
    </w:p>
    <w:p w:rsidR="008B57F6" w:rsidRDefault="008B57F6" w:rsidP="000605ED">
      <w:pPr>
        <w:keepNext/>
        <w:keepLines/>
      </w:pPr>
    </w:p>
    <w:p w:rsidR="00850EF9" w:rsidRPr="00615BA1" w:rsidRDefault="00850EF9" w:rsidP="000605ED">
      <w:pPr>
        <w:pStyle w:val="Nadpis2"/>
        <w:keepLines/>
        <w:spacing w:before="0"/>
        <w:ind w:left="0"/>
      </w:pPr>
    </w:p>
    <w:p w:rsidR="00850EF9" w:rsidRPr="00615BA1" w:rsidRDefault="00850EF9" w:rsidP="000605ED">
      <w:pPr>
        <w:pStyle w:val="Nadpis3"/>
        <w:keepLines/>
      </w:pPr>
      <w:r w:rsidRPr="00615BA1">
        <w:t>Sankční ujednání</w:t>
      </w:r>
    </w:p>
    <w:p w:rsidR="00DF5ED4" w:rsidRDefault="00DF5ED4" w:rsidP="000605ED">
      <w:pPr>
        <w:pStyle w:val="Zkladntextodsazen-slo"/>
        <w:keepNext/>
        <w:keepLines/>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DF5ED4" w:rsidRDefault="00DF5ED4" w:rsidP="000605ED">
      <w:pPr>
        <w:pStyle w:val="Zkladntextodsazen-slo"/>
        <w:keepNext/>
        <w:keepLines/>
        <w:numPr>
          <w:ilvl w:val="0"/>
          <w:numId w:val="26"/>
        </w:numPr>
        <w:ind w:left="357" w:hanging="357"/>
        <w:outlineLvl w:val="9"/>
      </w:pPr>
      <w:r w:rsidRPr="0030710B">
        <w:lastRenderedPageBreak/>
        <w:t>V případě nedodržení termín</w:t>
      </w:r>
      <w:r>
        <w:t>u</w:t>
      </w:r>
      <w:r w:rsidRPr="0030710B">
        <w:t xml:space="preserve"> plnění dle části C této smlouvy ze strany příkazníka je příkazník povinen zaplatit příkazci smluvní pokutu ve výši 0,2 % z odměny celkem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87130A" w:rsidRDefault="00850EF9" w:rsidP="0087130A">
      <w:pPr>
        <w:pStyle w:val="Zkladntextodsazen-slo"/>
        <w:keepNext/>
        <w:keepLines/>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7130A" w:rsidRPr="00545B46" w:rsidRDefault="0087130A" w:rsidP="0087130A">
      <w:pPr>
        <w:pStyle w:val="Zkladntextodsazen-slo"/>
        <w:keepNext/>
        <w:keepLines/>
        <w:numPr>
          <w:ilvl w:val="0"/>
          <w:numId w:val="26"/>
        </w:numPr>
        <w:ind w:left="357" w:hanging="357"/>
        <w:outlineLvl w:val="9"/>
      </w:pPr>
      <w:r w:rsidRPr="00545B46">
        <w:t xml:space="preserve">Provede-li zhotovitel (příkazník) změnu </w:t>
      </w:r>
      <w:r w:rsidR="00545B46">
        <w:t>týmu techniků</w:t>
      </w:r>
      <w:r w:rsidRPr="00545B46">
        <w:t xml:space="preserve"> v rozporu s uvedeným</w:t>
      </w:r>
      <w:r w:rsidR="00292F30" w:rsidRPr="00545B46">
        <w:t xml:space="preserve"> ustanovením </w:t>
      </w:r>
      <w:proofErr w:type="spellStart"/>
      <w:r w:rsidR="00292F30" w:rsidRPr="00545B46">
        <w:t>čl</w:t>
      </w:r>
      <w:proofErr w:type="spellEnd"/>
      <w:r w:rsidR="00292F30" w:rsidRPr="00545B46">
        <w:t xml:space="preserve"> V</w:t>
      </w:r>
      <w:r w:rsidRPr="00545B46">
        <w:t xml:space="preserve">, odst. </w:t>
      </w:r>
      <w:r w:rsidR="00292F30" w:rsidRPr="00545B46">
        <w:t>9</w:t>
      </w:r>
      <w:r w:rsidRPr="00545B46">
        <w:t xml:space="preserve"> této části smlouvy, je zhotovitel (příkazce) povinen zaplatit smluvní pokutu ve výši 300.000,- Kč (slovy tři sta tisíc korun českých) za každý jednotlivý příklad.  </w:t>
      </w:r>
    </w:p>
    <w:p w:rsidR="00850EF9" w:rsidRDefault="00850EF9" w:rsidP="000605ED">
      <w:pPr>
        <w:pStyle w:val="Zkladntextodsazen-slo"/>
        <w:keepNext/>
        <w:keepLines/>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0605ED">
      <w:pPr>
        <w:pStyle w:val="Zkladntextodsazen-slo"/>
        <w:keepNext/>
        <w:keepLines/>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0605ED">
      <w:pPr>
        <w:pStyle w:val="Zkladntextodsazen-slo"/>
        <w:keepNext/>
        <w:keepLines/>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0605ED">
      <w:pPr>
        <w:pStyle w:val="Zkladntextodsazen-slo"/>
        <w:keepNext/>
        <w:keepLines/>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0605ED">
      <w:pPr>
        <w:pStyle w:val="Zkladntextodsazen-slo"/>
        <w:keepNext/>
        <w:keepLines/>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0605ED">
      <w:pPr>
        <w:pStyle w:val="Zkladntextodsazen-slo"/>
        <w:keepNext/>
        <w:keepLines/>
        <w:numPr>
          <w:ilvl w:val="0"/>
          <w:numId w:val="0"/>
        </w:numPr>
        <w:ind w:left="357"/>
        <w:outlineLvl w:val="9"/>
      </w:pPr>
    </w:p>
    <w:p w:rsidR="00BC4560" w:rsidRPr="00945321" w:rsidRDefault="00BC4560" w:rsidP="000605ED">
      <w:pPr>
        <w:pStyle w:val="Nadpis2"/>
        <w:keepLines/>
        <w:spacing w:before="300"/>
        <w:ind w:left="0"/>
      </w:pPr>
      <w:bookmarkStart w:id="0" w:name="_GoBack"/>
      <w:bookmarkEnd w:id="0"/>
    </w:p>
    <w:p w:rsidR="00B45E45" w:rsidRPr="006D6ED9" w:rsidRDefault="00850EF9" w:rsidP="000605ED">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2D2EF3" w:rsidRDefault="00B656BE" w:rsidP="00DA6036">
      <w:pPr>
        <w:keepNext/>
        <w:keepLines/>
        <w:numPr>
          <w:ilvl w:val="0"/>
          <w:numId w:val="7"/>
        </w:numPr>
      </w:pPr>
      <w:r w:rsidRPr="00B90F01">
        <w:t>Doložka platnosti právního úkonu dle § 41 zákona č. 128/2000 Sb., o obcích (obecní zřízení), ve znění pozdějších změn a předpisů: O uzavření této smlouvy rozhodla rada města usnesením č.</w:t>
      </w:r>
      <w:r>
        <w:t xml:space="preserve"> …../RM1418/…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 xml:space="preserve">uzavření smlouvy k veřejné zakázce </w:t>
      </w:r>
      <w:r w:rsidR="00DF5ED4" w:rsidRPr="002D2EF3">
        <w:t>označené „</w:t>
      </w:r>
      <w:r w:rsidR="00DA6036" w:rsidRPr="002D2EF3">
        <w:rPr>
          <w:iCs/>
        </w:rPr>
        <w:t xml:space="preserve">Revitalizace lesoparku Benátky a Hulváckého kopce </w:t>
      </w:r>
      <w:r w:rsidR="00A36134" w:rsidRPr="002D2EF3">
        <w:rPr>
          <w:iCs/>
        </w:rPr>
        <w:t>(DÚR+IČ)</w:t>
      </w:r>
      <w:r w:rsidR="00BC0E7D" w:rsidRPr="002D2EF3">
        <w:rPr>
          <w:iCs/>
        </w:rPr>
        <w:t>_II.</w:t>
      </w:r>
      <w:r w:rsidR="00DF5ED4" w:rsidRPr="002D2EF3">
        <w:t xml:space="preserve">“, </w:t>
      </w:r>
      <w:proofErr w:type="spellStart"/>
      <w:r w:rsidR="00DF5ED4" w:rsidRPr="002D2EF3">
        <w:t>poř</w:t>
      </w:r>
      <w:proofErr w:type="spellEnd"/>
      <w:r w:rsidR="00DF5ED4" w:rsidRPr="002D2EF3">
        <w:t xml:space="preserve">. č. </w:t>
      </w:r>
      <w:r w:rsidR="00BC0E7D" w:rsidRPr="002D2EF3">
        <w:t>129</w:t>
      </w:r>
      <w:r w:rsidR="00DF5ED4" w:rsidRPr="002D2EF3">
        <w:t>/201</w:t>
      </w:r>
      <w:r w:rsidR="004F783B" w:rsidRPr="002D2EF3">
        <w:t>7</w:t>
      </w:r>
      <w:r w:rsidR="00DF5ED4" w:rsidRPr="002D2EF3">
        <w:t>.</w:t>
      </w:r>
      <w:r w:rsidRPr="002D2EF3">
        <w:t xml:space="preserve"> </w:t>
      </w:r>
    </w:p>
    <w:p w:rsidR="00BC0E7D" w:rsidRPr="002D2EF3" w:rsidRDefault="00BC0E7D" w:rsidP="00BC0E7D">
      <w:pPr>
        <w:keepNext/>
        <w:numPr>
          <w:ilvl w:val="0"/>
          <w:numId w:val="7"/>
        </w:numPr>
      </w:pPr>
      <w:r w:rsidRPr="002D2EF3">
        <w:t>Tato smlouva nabývá účinnosti dnem uveřejnění prostřednictvím registru smluv.</w:t>
      </w:r>
    </w:p>
    <w:p w:rsidR="00BC0E7D" w:rsidRPr="002D2EF3" w:rsidRDefault="00BC0E7D" w:rsidP="00BC0E7D">
      <w:pPr>
        <w:keepNext/>
        <w:numPr>
          <w:ilvl w:val="0"/>
          <w:numId w:val="7"/>
        </w:numPr>
      </w:pPr>
      <w:r w:rsidRPr="002D2EF3">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 </w:t>
      </w:r>
    </w:p>
    <w:p w:rsidR="00B45E45" w:rsidRPr="002D2EF3" w:rsidRDefault="00B45E45" w:rsidP="000605ED">
      <w:pPr>
        <w:keepNext/>
        <w:keepLines/>
        <w:numPr>
          <w:ilvl w:val="0"/>
          <w:numId w:val="7"/>
        </w:numPr>
        <w:rPr>
          <w:i/>
        </w:rPr>
      </w:pPr>
      <w:r w:rsidRPr="002D2EF3">
        <w:t>Smluvní strany se dohodly, že pro tento svůj závazkový vztah vylu</w:t>
      </w:r>
      <w:r w:rsidR="007D2C1B" w:rsidRPr="002D2EF3">
        <w:t xml:space="preserve">čují použití ustanovení § 1765 OZ, ustanovení § 1978 odst. 2 OZ a ustanovení § 2591 </w:t>
      </w:r>
      <w:r w:rsidRPr="002D2EF3">
        <w:t>OZ</w:t>
      </w:r>
      <w:r w:rsidRPr="002D2EF3">
        <w:rPr>
          <w:i/>
        </w:rPr>
        <w:t>.</w:t>
      </w:r>
    </w:p>
    <w:p w:rsidR="00B45E45" w:rsidRDefault="00B45E45" w:rsidP="000605ED">
      <w:pPr>
        <w:keepNext/>
        <w:keepLines/>
        <w:numPr>
          <w:ilvl w:val="0"/>
          <w:numId w:val="7"/>
        </w:numPr>
      </w:pPr>
      <w:r w:rsidRPr="002D2EF3">
        <w:t>Smluvní strany se dále dohodly ve smyslu § 1740 odst. 2 a 3</w:t>
      </w:r>
      <w:r w:rsidR="007D2C1B" w:rsidRPr="002D2EF3">
        <w:t xml:space="preserve"> </w:t>
      </w:r>
      <w:r w:rsidRPr="002D2EF3">
        <w:t xml:space="preserve">OZ, že vylučují přijetí nabídky, která vyjadřuje obsah návrhu </w:t>
      </w:r>
      <w:r w:rsidRPr="003F7496">
        <w:t>smlouvy jinými slovy, i přijetí nabídky s dodatkem nebo odchylkou, i když dodatek či odchylka podstatně nemění podmínky nabídky.</w:t>
      </w:r>
    </w:p>
    <w:p w:rsidR="00850EF9" w:rsidRDefault="00B45E45" w:rsidP="000605ED">
      <w:pPr>
        <w:keepNext/>
        <w:keepLines/>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0605ED">
      <w:pPr>
        <w:keepNext/>
        <w:keepLines/>
        <w:numPr>
          <w:ilvl w:val="0"/>
          <w:numId w:val="7"/>
        </w:numPr>
      </w:pPr>
      <w:r>
        <w:t>Smluvní strany mohou ukončit smluvní vztah písemnou dohodou.</w:t>
      </w:r>
    </w:p>
    <w:p w:rsidR="00791F06" w:rsidRDefault="00A44C0B" w:rsidP="009438CE">
      <w:pPr>
        <w:keepNext/>
        <w:keepLines/>
        <w:numPr>
          <w:ilvl w:val="0"/>
          <w:numId w:val="7"/>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Default="00B45E45" w:rsidP="009438CE">
      <w:pPr>
        <w:keepNext/>
        <w:keepLines/>
        <w:numPr>
          <w:ilvl w:val="0"/>
          <w:numId w:val="7"/>
        </w:numPr>
        <w:ind w:left="357" w:hanging="357"/>
      </w:pPr>
      <w:r w:rsidRPr="00945568">
        <w:lastRenderedPageBreak/>
        <w:t>Příkazník může smlouvu vypovědět ke konci měsíce následujícího po měsíci, v němž byla výpověď doručena.</w:t>
      </w:r>
    </w:p>
    <w:p w:rsidR="009438CE" w:rsidRDefault="009438CE" w:rsidP="009438CE">
      <w:pPr>
        <w:pStyle w:val="Odstavecseseznamem"/>
        <w:keepNext/>
        <w:numPr>
          <w:ilvl w:val="0"/>
          <w:numId w:val="7"/>
        </w:numPr>
        <w:ind w:left="357" w:hanging="357"/>
      </w:pPr>
      <w:r>
        <w:t>V průběhu trvání této smlouvy je zhotovitel (příkazník) oprávněn změnit tým techniků, prostřednictvím kterého, ve své nabídce podané k této veřejné zakázce, prokázal splnění kvalifikace pro plnění veřejné zakázky, a to pouze s předchozím písemným souhlasem objednatele (příkazce). Nový seznam techniků musí splňovat technickou kvalifikaci stanovenou objednatelem pro tým</w:t>
      </w:r>
      <w:r w:rsidR="00545B46">
        <w:t xml:space="preserve"> techniků (příkazcem) v čl. IV</w:t>
      </w:r>
      <w:r>
        <w:t>. bodu 2. písmene b) zadávacích podmínek k této veřejné zakázce. Objednatel (příkazce) vydá písemný souhlas se změnou do 14 dnů od doručení žádosti a potřebných dokladů, disponuje-li nový tým techniků potřebnou kvalifikací. Objednatel (příkazce) nesmí souhlas se změnou týmu techniků bez objektivních důvodů odmítnout, pokud mu budou zhotovitelem (příkazníkem) příslušné doklady předloženy.</w:t>
      </w:r>
    </w:p>
    <w:p w:rsidR="00B45E45" w:rsidRPr="00945568" w:rsidRDefault="005B1268" w:rsidP="009438CE">
      <w:pPr>
        <w:pStyle w:val="Odstavecseseznamem"/>
        <w:keepNext/>
        <w:numPr>
          <w:ilvl w:val="0"/>
          <w:numId w:val="7"/>
        </w:numPr>
        <w:ind w:left="357" w:hanging="357"/>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0605ED">
      <w:pPr>
        <w:keepNext/>
        <w:keepLines/>
        <w:numPr>
          <w:ilvl w:val="0"/>
          <w:numId w:val="7"/>
        </w:numPr>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793CEA" w:rsidRPr="00945568" w:rsidRDefault="00793CEA" w:rsidP="000605ED">
      <w:pPr>
        <w:keepNext/>
        <w:keepLines/>
        <w:numPr>
          <w:ilvl w:val="0"/>
          <w:numId w:val="7"/>
        </w:numPr>
      </w:pPr>
      <w:r w:rsidRPr="00945568">
        <w:rPr>
          <w:color w:val="000000"/>
        </w:rPr>
        <w:t xml:space="preserve">Změnit nebo doplnit tuto smlouvu mohou smluvní strany pouze formou </w:t>
      </w:r>
      <w:r w:rsidRPr="00945568">
        <w:t xml:space="preserve">písemných dodatků (s výjimkou případu uvedeného v části </w:t>
      </w:r>
      <w:r w:rsidR="00545B46">
        <w:t xml:space="preserve">B čl. II. odst. 4 a části </w:t>
      </w:r>
      <w:r w:rsidRPr="00945568">
        <w:t>D čl. I odst. 5</w:t>
      </w:r>
      <w:r w:rsidR="00545B46">
        <w:t xml:space="preserve"> a</w:t>
      </w:r>
      <w:r w:rsidRPr="00945568">
        <w:t>), které budou vzestupně číslovány, výslovně prohlášeny za dodatek této smlouvy a podepsány oprávněnými zástupci smluvních stran. Za písemnou formu nebude pro tento účel považována výměna e-mailových či jiných elektronických zpráv.</w:t>
      </w:r>
    </w:p>
    <w:p w:rsidR="000D6DCC" w:rsidRPr="00945568" w:rsidRDefault="000D6DCC" w:rsidP="000605ED">
      <w:pPr>
        <w:keepNext/>
        <w:keepLines/>
        <w:numPr>
          <w:ilvl w:val="0"/>
          <w:numId w:val="7"/>
        </w:numPr>
      </w:pPr>
      <w:r w:rsidRPr="00945568">
        <w:t>Zhotovitel (příkazník) se zavazuje, že jakékoliv informace, které se dozvěděl v souvislosti s plněním této smlouvy, neposkytne třetím osobám.</w:t>
      </w:r>
    </w:p>
    <w:p w:rsidR="00B45E45" w:rsidRDefault="00B45E45" w:rsidP="000605ED">
      <w:pPr>
        <w:keepNext/>
        <w:keepLines/>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0605ED">
      <w:pPr>
        <w:keepNext/>
        <w:keepLines/>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0605ED">
      <w:pPr>
        <w:keepNext/>
        <w:keepLines/>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0605ED">
      <w:pPr>
        <w:keepNext/>
        <w:keepLines/>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0605ED">
      <w:pPr>
        <w:keepNext/>
        <w:keepLines/>
        <w:numPr>
          <w:ilvl w:val="0"/>
          <w:numId w:val="7"/>
        </w:numPr>
      </w:pPr>
      <w:r w:rsidRPr="006007C5">
        <w:t>Písemnosti se považují za doručené i v případě, že kterákoliv ze stran její doručení odmítne, či jinak znemožní.</w:t>
      </w:r>
    </w:p>
    <w:p w:rsidR="00B45E45" w:rsidRDefault="00B45E45" w:rsidP="000605ED">
      <w:pPr>
        <w:keepNext/>
        <w:keepLines/>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0605ED">
      <w:pPr>
        <w:keepNext/>
        <w:keepLines/>
        <w:ind w:firstLine="360"/>
      </w:pPr>
      <w:r w:rsidRPr="006007C5">
        <w:t xml:space="preserve">dohodnuto ve smlouvě. </w:t>
      </w:r>
    </w:p>
    <w:p w:rsidR="00B45E45" w:rsidRDefault="00B45E45" w:rsidP="000605ED">
      <w:pPr>
        <w:keepNext/>
        <w:keepLines/>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0605ED">
      <w:pPr>
        <w:pStyle w:val="Zkladntext2"/>
        <w:keepNext/>
        <w:keepLines/>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DA6036">
        <w:rPr>
          <w:szCs w:val="22"/>
        </w:rPr>
        <w:t>Gabriela Veselá</w:t>
      </w:r>
      <w:r w:rsidR="00E02F48" w:rsidRPr="00E02F48">
        <w:rPr>
          <w:szCs w:val="22"/>
        </w:rPr>
        <w:t>,</w:t>
      </w:r>
      <w:r w:rsidRPr="00E02F48">
        <w:rPr>
          <w:szCs w:val="22"/>
        </w:rPr>
        <w:t xml:space="preserve"> tel.: 599</w:t>
      </w:r>
      <w:r w:rsidR="00DA6036">
        <w:rPr>
          <w:szCs w:val="22"/>
        </w:rPr>
        <w:t> </w:t>
      </w:r>
      <w:r w:rsidRPr="00E02F48">
        <w:rPr>
          <w:szCs w:val="22"/>
        </w:rPr>
        <w:t>44</w:t>
      </w:r>
      <w:r w:rsidR="00DA6036">
        <w:rPr>
          <w:szCs w:val="22"/>
        </w:rPr>
        <w:t>3 277</w:t>
      </w:r>
      <w:r w:rsidRPr="00E02F48">
        <w:rPr>
          <w:szCs w:val="22"/>
        </w:rPr>
        <w:t xml:space="preserve">, e-mail: </w:t>
      </w:r>
      <w:hyperlink r:id="rId9" w:history="1">
        <w:r w:rsidR="00DA6036" w:rsidRPr="00B107A7">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313E8C" w:rsidRDefault="00B45E45" w:rsidP="000605ED">
      <w:pPr>
        <w:keepNext/>
        <w:keepLines/>
        <w:numPr>
          <w:ilvl w:val="0"/>
          <w:numId w:val="7"/>
        </w:numPr>
      </w:pPr>
      <w:r w:rsidRPr="006007C5">
        <w:t>Osoby podepisující tuto smlouvu svým podpisem stvrzují platnost jednatelských oprávnění.</w:t>
      </w: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292F30" w:rsidRDefault="00292F30" w:rsidP="00292F30">
      <w:pPr>
        <w:keepNext/>
        <w:keepLines/>
        <w:ind w:left="360"/>
      </w:pPr>
    </w:p>
    <w:p w:rsidR="009438CE" w:rsidRDefault="009438CE" w:rsidP="00BC0E7D">
      <w:pPr>
        <w:keepNext/>
        <w:keepLines/>
      </w:pPr>
    </w:p>
    <w:p w:rsidR="00B45E45" w:rsidRPr="00B90F01" w:rsidRDefault="00B45E45" w:rsidP="000605ED">
      <w:pPr>
        <w:keepNext/>
        <w:keepLines/>
        <w:numPr>
          <w:ilvl w:val="0"/>
          <w:numId w:val="7"/>
        </w:numPr>
      </w:pPr>
      <w:r>
        <w:lastRenderedPageBreak/>
        <w:t>N</w:t>
      </w:r>
      <w:r w:rsidRPr="00B90F01">
        <w:t>edílnou součástí této smlouvy</w:t>
      </w:r>
      <w:r>
        <w:t xml:space="preserve"> jsou</w:t>
      </w:r>
      <w:r w:rsidRPr="00B90F01">
        <w:t xml:space="preserve">: </w:t>
      </w:r>
    </w:p>
    <w:p w:rsidR="00B45E45" w:rsidRDefault="00B45E45" w:rsidP="000605ED">
      <w:pPr>
        <w:keepNext/>
        <w:keepLines/>
        <w:ind w:firstLine="360"/>
      </w:pPr>
      <w:r>
        <w:t>Příloha č. 1</w:t>
      </w:r>
      <w:r w:rsidR="00683B55">
        <w:t xml:space="preserve"> </w:t>
      </w:r>
      <w:r>
        <w:t>-</w:t>
      </w:r>
      <w:r w:rsidRPr="00B90F01">
        <w:t xml:space="preserve"> Plná moc</w:t>
      </w:r>
    </w:p>
    <w:p w:rsidR="00B656BE" w:rsidRDefault="00B656BE" w:rsidP="000605ED">
      <w:pPr>
        <w:keepNext/>
        <w:keepLines/>
        <w:ind w:firstLine="360"/>
      </w:pPr>
      <w:r>
        <w:t>Příloha č. 2</w:t>
      </w:r>
      <w:r w:rsidR="00683B55">
        <w:t xml:space="preserve"> </w:t>
      </w:r>
      <w:r>
        <w:t>- Prohlášení</w:t>
      </w:r>
    </w:p>
    <w:p w:rsidR="00803B19" w:rsidRDefault="00803B19" w:rsidP="000605ED">
      <w:pPr>
        <w:keepNext/>
        <w:keepLines/>
        <w:tabs>
          <w:tab w:val="left" w:pos="0"/>
          <w:tab w:val="left" w:pos="4990"/>
        </w:tabs>
        <w:rPr>
          <w:rFonts w:ascii="Arial" w:hAnsi="Arial" w:cs="Arial"/>
          <w:b/>
          <w:sz w:val="20"/>
        </w:rPr>
      </w:pPr>
    </w:p>
    <w:p w:rsidR="00763F0A" w:rsidRPr="00225580" w:rsidRDefault="00763F0A" w:rsidP="000605ED">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0605ED">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0605ED">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Ostrava</w:t>
      </w:r>
      <w:r w:rsidR="00DA6036">
        <w:rPr>
          <w:rFonts w:cs="Arial"/>
        </w:rPr>
        <w:tab/>
        <w:t xml:space="preserve">      </w:t>
      </w:r>
      <w:r w:rsidRPr="005E4788">
        <w:rPr>
          <w:rFonts w:cs="Arial"/>
        </w:rPr>
        <w:t>Místo:</w:t>
      </w:r>
      <w:r>
        <w:rPr>
          <w:rFonts w:cs="Arial"/>
        </w:rPr>
        <w:tab/>
      </w:r>
    </w:p>
    <w:p w:rsidR="00763F0A" w:rsidRDefault="00763F0A"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76206D" w:rsidRDefault="0076206D"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63F0A" w:rsidRPr="005E4788" w:rsidRDefault="00763F0A" w:rsidP="000605ED">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0605ED">
      <w:pPr>
        <w:keepNext/>
        <w:keepLines/>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 xml:space="preserve">(doplní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0605ED">
      <w:pPr>
        <w:keepNext/>
        <w:keepLines/>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0605ED">
      <w:pPr>
        <w:keepNext/>
        <w:tabs>
          <w:tab w:val="left" w:pos="0"/>
          <w:tab w:val="left" w:pos="4990"/>
        </w:tabs>
        <w:jc w:val="left"/>
        <w:sectPr w:rsidR="00683B55" w:rsidSect="001304B1">
          <w:headerReference w:type="default" r:id="rId10"/>
          <w:footerReference w:type="default" r:id="rId11"/>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0605ED">
      <w:pPr>
        <w:pStyle w:val="Nzev"/>
        <w:keepNext/>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0605ED">
      <w:pPr>
        <w:keepNext/>
        <w:rPr>
          <w:rFonts w:ascii="Arial" w:hAnsi="Arial" w:cs="Arial"/>
          <w:b/>
          <w:sz w:val="28"/>
        </w:rPr>
      </w:pPr>
      <w:r w:rsidRPr="00A36134">
        <w:rPr>
          <w:rFonts w:ascii="Arial" w:hAnsi="Arial" w:cs="Arial"/>
          <w:b/>
          <w:sz w:val="28"/>
        </w:rPr>
        <w:t>PLNÁ MOC</w:t>
      </w:r>
    </w:p>
    <w:p w:rsidR="00850EF9" w:rsidRPr="00A36134" w:rsidRDefault="00850EF9" w:rsidP="000605ED">
      <w:pPr>
        <w:keepNext/>
        <w:rPr>
          <w:rFonts w:ascii="Arial" w:hAnsi="Arial" w:cs="Arial"/>
          <w:b/>
          <w:sz w:val="28"/>
        </w:rPr>
      </w:pPr>
      <w:r w:rsidRPr="00A36134">
        <w:rPr>
          <w:rFonts w:ascii="Arial" w:hAnsi="Arial" w:cs="Arial"/>
          <w:b/>
          <w:sz w:val="28"/>
        </w:rPr>
        <w:t>ke smlouvě č. ......../20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92200A" w:rsidRPr="0092200A">
        <w:rPr>
          <w:rFonts w:ascii="Arial" w:hAnsi="Arial" w:cs="Arial"/>
          <w:b/>
          <w:sz w:val="28"/>
        </w:rPr>
        <w:t>Revitalizace lesoparku Benátky a Hulváckého kopce</w:t>
      </w:r>
      <w:r w:rsidR="00903312" w:rsidRPr="00A36134">
        <w:rPr>
          <w:rFonts w:ascii="Arial" w:hAnsi="Arial" w:cs="Arial"/>
          <w:b/>
          <w:sz w:val="28"/>
        </w:rPr>
        <w:t>“</w:t>
      </w:r>
    </w:p>
    <w:p w:rsidR="004C7482" w:rsidRDefault="004C7482" w:rsidP="000605ED">
      <w:pPr>
        <w:keepNext/>
        <w:tabs>
          <w:tab w:val="left" w:pos="1276"/>
        </w:tabs>
        <w:ind w:left="1276" w:hanging="1276"/>
        <w:rPr>
          <w:b/>
          <w:color w:val="000000"/>
          <w:szCs w:val="22"/>
        </w:rPr>
      </w:pPr>
    </w:p>
    <w:p w:rsidR="001D2B2F" w:rsidRDefault="001D2B2F" w:rsidP="000605ED">
      <w:pPr>
        <w:keepNext/>
        <w:tabs>
          <w:tab w:val="left" w:pos="1276"/>
        </w:tabs>
        <w:ind w:left="1276" w:hanging="1276"/>
        <w:jc w:val="center"/>
        <w:rPr>
          <w:b/>
          <w:color w:val="000000"/>
          <w:szCs w:val="22"/>
        </w:rPr>
      </w:pPr>
    </w:p>
    <w:p w:rsidR="00850EF9" w:rsidRPr="00903312" w:rsidRDefault="00F02B26" w:rsidP="000605ED">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0605ED">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0605ED">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0605ED">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0605ED">
      <w:pPr>
        <w:keepNext/>
        <w:tabs>
          <w:tab w:val="left" w:pos="1276"/>
        </w:tabs>
        <w:ind w:left="1276" w:hanging="1276"/>
        <w:rPr>
          <w:b/>
          <w:color w:val="000000"/>
          <w:szCs w:val="22"/>
        </w:rPr>
      </w:pPr>
    </w:p>
    <w:p w:rsidR="00850EF9" w:rsidRPr="00A36134" w:rsidRDefault="005F6F61" w:rsidP="000605ED">
      <w:pPr>
        <w:keepNext/>
        <w:tabs>
          <w:tab w:val="left" w:pos="1276"/>
        </w:tabs>
        <w:ind w:left="1276" w:hanging="1276"/>
        <w:rPr>
          <w:rFonts w:ascii="Arial" w:hAnsi="Arial" w:cs="Arial"/>
          <w:b/>
          <w:color w:val="000000"/>
          <w:sz w:val="18"/>
        </w:rPr>
      </w:pPr>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 xml:space="preserve">(doplní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0605ED">
      <w:pPr>
        <w:pStyle w:val="Zhlav"/>
        <w:keepNext/>
        <w:tabs>
          <w:tab w:val="left" w:pos="1276"/>
        </w:tabs>
        <w:ind w:left="1276" w:hanging="1276"/>
        <w:rPr>
          <w:szCs w:val="22"/>
        </w:rPr>
      </w:pPr>
      <w:r>
        <w:rPr>
          <w:szCs w:val="22"/>
        </w:rPr>
        <w:tab/>
      </w:r>
      <w:r w:rsidRPr="00850EF9">
        <w:rPr>
          <w:szCs w:val="22"/>
        </w:rPr>
        <w:t>se sídlem</w:t>
      </w:r>
      <w:r w:rsidR="00903312">
        <w:rPr>
          <w:szCs w:val="22"/>
        </w:rPr>
        <w:t>:</w:t>
      </w:r>
      <w:r w:rsidRPr="00850EF9">
        <w:rPr>
          <w:szCs w:val="22"/>
        </w:rPr>
        <w:t xml:space="preserve"> ...............</w:t>
      </w:r>
    </w:p>
    <w:p w:rsidR="00850EF9" w:rsidRPr="00850EF9" w:rsidRDefault="00850EF9" w:rsidP="000605ED">
      <w:pPr>
        <w:pStyle w:val="Zhlav"/>
        <w:keepNext/>
        <w:tabs>
          <w:tab w:val="left" w:pos="1276"/>
        </w:tabs>
        <w:ind w:left="1276" w:hanging="1276"/>
        <w:rPr>
          <w:szCs w:val="22"/>
        </w:rPr>
      </w:pPr>
      <w:r>
        <w:rPr>
          <w:szCs w:val="22"/>
        </w:rPr>
        <w:tab/>
      </w:r>
      <w:r w:rsidRPr="00850EF9">
        <w:rPr>
          <w:szCs w:val="22"/>
        </w:rPr>
        <w:t>IČ</w:t>
      </w:r>
      <w:r w:rsidR="0024762F">
        <w:rPr>
          <w:szCs w:val="22"/>
        </w:rPr>
        <w:t>O</w:t>
      </w:r>
      <w:r w:rsidRPr="00850EF9">
        <w:rPr>
          <w:szCs w:val="22"/>
        </w:rPr>
        <w:t>: ..............</w:t>
      </w:r>
    </w:p>
    <w:p w:rsidR="00850EF9" w:rsidRPr="00850EF9" w:rsidRDefault="00850EF9" w:rsidP="000605ED">
      <w:pPr>
        <w:pStyle w:val="Zhlav"/>
        <w:keepNext/>
        <w:tabs>
          <w:tab w:val="left" w:pos="1276"/>
        </w:tabs>
        <w:ind w:left="1276" w:hanging="1276"/>
        <w:rPr>
          <w:szCs w:val="22"/>
        </w:rPr>
      </w:pPr>
      <w:r>
        <w:rPr>
          <w:szCs w:val="22"/>
        </w:rPr>
        <w:tab/>
      </w:r>
      <w:r w:rsidR="009F29D5">
        <w:rPr>
          <w:szCs w:val="22"/>
        </w:rPr>
        <w:t>z</w:t>
      </w:r>
      <w:r w:rsidRPr="00850EF9">
        <w:rPr>
          <w:szCs w:val="22"/>
        </w:rPr>
        <w:t>astoupen</w:t>
      </w:r>
      <w:r w:rsidR="00903312">
        <w:rPr>
          <w:szCs w:val="22"/>
        </w:rPr>
        <w:t>a</w:t>
      </w:r>
      <w:r w:rsidRPr="00850EF9">
        <w:rPr>
          <w:szCs w:val="22"/>
        </w:rPr>
        <w:t>: ...............</w:t>
      </w:r>
    </w:p>
    <w:p w:rsidR="00850EF9" w:rsidRPr="006A2820" w:rsidRDefault="00850EF9" w:rsidP="000605ED">
      <w:pPr>
        <w:keepNext/>
        <w:rPr>
          <w:color w:val="000000"/>
          <w:szCs w:val="22"/>
        </w:rPr>
      </w:pPr>
    </w:p>
    <w:p w:rsidR="00850EF9" w:rsidRPr="002A4676" w:rsidRDefault="005F6F61" w:rsidP="000605ED">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0605ED">
      <w:pPr>
        <w:keepNext/>
        <w:rPr>
          <w:b/>
          <w:color w:val="000000"/>
          <w:szCs w:val="22"/>
        </w:rPr>
      </w:pPr>
    </w:p>
    <w:p w:rsidR="00850EF9" w:rsidRPr="00967DF2" w:rsidRDefault="00850EF9" w:rsidP="0092200A">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2200A" w:rsidRPr="0092200A">
        <w:rPr>
          <w:rFonts w:ascii="Arial" w:hAnsi="Arial" w:cs="Arial"/>
          <w:b/>
          <w:sz w:val="20"/>
          <w:szCs w:val="20"/>
        </w:rPr>
        <w:t>Revitalizace lesoparku Benátky a Hulváckého kopce</w:t>
      </w:r>
      <w:r w:rsidR="00903312" w:rsidRPr="00903312">
        <w:t>“</w:t>
      </w:r>
      <w:r w:rsidR="001F0B11" w:rsidRPr="00903312">
        <w:t>.</w:t>
      </w:r>
    </w:p>
    <w:p w:rsidR="00850EF9" w:rsidRPr="00060B9F" w:rsidRDefault="00850EF9" w:rsidP="000605ED">
      <w:pPr>
        <w:keepNext/>
        <w:ind w:left="284" w:hanging="284"/>
        <w:rPr>
          <w:szCs w:val="22"/>
        </w:rPr>
      </w:pPr>
    </w:p>
    <w:p w:rsidR="00850EF9" w:rsidRPr="006A2820" w:rsidRDefault="00850EF9" w:rsidP="000605ED">
      <w:pPr>
        <w:keepNext/>
        <w:rPr>
          <w:szCs w:val="22"/>
        </w:rPr>
      </w:pPr>
      <w:r w:rsidRPr="006A2820">
        <w:rPr>
          <w:szCs w:val="22"/>
        </w:rPr>
        <w:t>V Ostravě dne:</w:t>
      </w:r>
    </w:p>
    <w:p w:rsidR="00850EF9" w:rsidRDefault="00850EF9" w:rsidP="000605ED">
      <w:pPr>
        <w:pStyle w:val="Zhlav"/>
        <w:keepNext/>
        <w:tabs>
          <w:tab w:val="left" w:pos="708"/>
        </w:tabs>
        <w:rPr>
          <w:szCs w:val="22"/>
        </w:rPr>
      </w:pPr>
    </w:p>
    <w:p w:rsidR="00903312" w:rsidRDefault="00903312" w:rsidP="000605ED">
      <w:pPr>
        <w:pStyle w:val="Zhlav"/>
        <w:keepNext/>
        <w:tabs>
          <w:tab w:val="left" w:pos="708"/>
        </w:tabs>
        <w:rPr>
          <w:szCs w:val="22"/>
        </w:rPr>
      </w:pPr>
    </w:p>
    <w:p w:rsidR="00EF704B" w:rsidRPr="006A2820" w:rsidRDefault="00EF704B" w:rsidP="000605ED">
      <w:pPr>
        <w:pStyle w:val="Zhlav"/>
        <w:keepNext/>
        <w:tabs>
          <w:tab w:val="left" w:pos="708"/>
        </w:tabs>
        <w:rPr>
          <w:szCs w:val="22"/>
        </w:rPr>
      </w:pPr>
    </w:p>
    <w:p w:rsidR="00850EF9" w:rsidRPr="006A2820" w:rsidRDefault="00850EF9" w:rsidP="000605ED">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0605ED">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A36134" w:rsidRDefault="006D6ED9" w:rsidP="000605ED">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903312" w:rsidRDefault="00850EF9" w:rsidP="000605ED">
            <w:pPr>
              <w:keepNext/>
              <w:tabs>
                <w:tab w:val="left" w:pos="5103"/>
              </w:tabs>
              <w:jc w:val="center"/>
              <w:rPr>
                <w:szCs w:val="22"/>
              </w:rPr>
            </w:pPr>
            <w:r w:rsidRPr="00903312">
              <w:rPr>
                <w:szCs w:val="22"/>
              </w:rPr>
              <w:t>náměstek primátora</w:t>
            </w:r>
          </w:p>
          <w:p w:rsidR="00903312" w:rsidRPr="00903312" w:rsidRDefault="00903312" w:rsidP="000605ED">
            <w:pPr>
              <w:keepNext/>
              <w:tabs>
                <w:tab w:val="left" w:pos="5103"/>
              </w:tabs>
              <w:jc w:val="center"/>
              <w:rPr>
                <w:szCs w:val="22"/>
              </w:rPr>
            </w:pPr>
            <w:r w:rsidRPr="00903312">
              <w:rPr>
                <w:szCs w:val="22"/>
              </w:rPr>
              <w:t>na základě plné moci</w:t>
            </w:r>
          </w:p>
        </w:tc>
      </w:tr>
    </w:tbl>
    <w:p w:rsidR="00850EF9" w:rsidRDefault="00850EF9" w:rsidP="000605ED">
      <w:pPr>
        <w:keepNext/>
        <w:rPr>
          <w:szCs w:val="22"/>
        </w:rPr>
      </w:pPr>
    </w:p>
    <w:p w:rsidR="00850EF9" w:rsidRPr="006A2820" w:rsidRDefault="00850EF9" w:rsidP="000605ED">
      <w:pPr>
        <w:keepNext/>
        <w:rPr>
          <w:szCs w:val="22"/>
        </w:rPr>
      </w:pPr>
      <w:r w:rsidRPr="006A2820">
        <w:rPr>
          <w:szCs w:val="22"/>
        </w:rPr>
        <w:t>Prohlašuji, že plnou moc přijímám.</w:t>
      </w:r>
    </w:p>
    <w:p w:rsidR="00850EF9" w:rsidRPr="006A2820" w:rsidRDefault="00850EF9" w:rsidP="000605ED">
      <w:pPr>
        <w:keepNext/>
        <w:rPr>
          <w:szCs w:val="22"/>
        </w:rPr>
      </w:pPr>
    </w:p>
    <w:p w:rsidR="00850EF9" w:rsidRPr="006A2820" w:rsidRDefault="00850EF9" w:rsidP="000605ED">
      <w:pPr>
        <w:keepNext/>
        <w:rPr>
          <w:szCs w:val="22"/>
        </w:rPr>
      </w:pPr>
      <w:r w:rsidRPr="006A2820">
        <w:rPr>
          <w:szCs w:val="22"/>
        </w:rPr>
        <w:t>V .............. dne:</w:t>
      </w:r>
    </w:p>
    <w:p w:rsidR="00850EF9" w:rsidRPr="006A2820" w:rsidRDefault="00850EF9" w:rsidP="000605ED">
      <w:pPr>
        <w:keepNext/>
        <w:rPr>
          <w:szCs w:val="22"/>
        </w:rPr>
      </w:pPr>
    </w:p>
    <w:p w:rsidR="00850EF9" w:rsidRPr="006A2820" w:rsidRDefault="00850EF9" w:rsidP="000605ED">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0605ED">
            <w:pPr>
              <w:keepNext/>
              <w:tabs>
                <w:tab w:val="left" w:pos="5103"/>
              </w:tabs>
              <w:jc w:val="center"/>
              <w:rPr>
                <w:szCs w:val="22"/>
              </w:rPr>
            </w:pPr>
          </w:p>
        </w:tc>
        <w:tc>
          <w:tcPr>
            <w:tcW w:w="1779"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right w:val="nil"/>
            </w:tcBorders>
          </w:tcPr>
          <w:p w:rsidR="00C8603B" w:rsidRDefault="00C8603B" w:rsidP="000605ED">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0605ED">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0605ED">
            <w:pPr>
              <w:keepNext/>
              <w:tabs>
                <w:tab w:val="left" w:pos="5103"/>
              </w:tabs>
              <w:jc w:val="center"/>
              <w:rPr>
                <w:szCs w:val="22"/>
              </w:rPr>
            </w:pPr>
          </w:p>
        </w:tc>
        <w:tc>
          <w:tcPr>
            <w:tcW w:w="1779" w:type="dxa"/>
          </w:tcPr>
          <w:p w:rsidR="00402C23" w:rsidRPr="006A2820" w:rsidRDefault="00402C23" w:rsidP="000605ED">
            <w:pPr>
              <w:keepNext/>
              <w:tabs>
                <w:tab w:val="left" w:pos="5103"/>
              </w:tabs>
              <w:jc w:val="center"/>
              <w:rPr>
                <w:szCs w:val="22"/>
              </w:rPr>
            </w:pPr>
          </w:p>
        </w:tc>
        <w:tc>
          <w:tcPr>
            <w:tcW w:w="3960" w:type="dxa"/>
            <w:tcBorders>
              <w:left w:val="nil"/>
              <w:bottom w:val="nil"/>
              <w:right w:val="nil"/>
            </w:tcBorders>
          </w:tcPr>
          <w:p w:rsidR="00402C23" w:rsidRPr="006A2820" w:rsidRDefault="00C8603B" w:rsidP="000605ED">
            <w:pPr>
              <w:keepNext/>
              <w:tabs>
                <w:tab w:val="left" w:pos="5103"/>
              </w:tabs>
              <w:jc w:val="center"/>
              <w:rPr>
                <w:szCs w:val="22"/>
              </w:rPr>
            </w:pPr>
            <w:r>
              <w:rPr>
                <w:szCs w:val="22"/>
              </w:rPr>
              <w:t>……….</w:t>
            </w:r>
          </w:p>
        </w:tc>
      </w:tr>
    </w:tbl>
    <w:p w:rsidR="00850EF9" w:rsidRDefault="00850EF9" w:rsidP="000605ED">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0605ED">
      <w:pPr>
        <w:pStyle w:val="Nzev"/>
        <w:keepNext/>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0605ED">
      <w:pPr>
        <w:pStyle w:val="Nadpis1"/>
        <w:jc w:val="center"/>
      </w:pPr>
      <w:r w:rsidRPr="00B656BE">
        <w:t>Prohlášení</w:t>
      </w:r>
    </w:p>
    <w:p w:rsidR="00850EF9" w:rsidRPr="0036632C" w:rsidRDefault="00850EF9" w:rsidP="000605ED">
      <w:pPr>
        <w:pStyle w:val="Zkladntext"/>
        <w:keepNext/>
        <w:rPr>
          <w:b/>
          <w:bCs/>
          <w:szCs w:val="22"/>
        </w:rPr>
      </w:pPr>
    </w:p>
    <w:p w:rsidR="00B656BE" w:rsidRPr="0036632C" w:rsidRDefault="00B656BE" w:rsidP="000605ED">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0605ED">
      <w:pPr>
        <w:keepNext/>
        <w:rPr>
          <w:bCs/>
          <w:szCs w:val="22"/>
        </w:rPr>
      </w:pPr>
    </w:p>
    <w:p w:rsidR="00B656BE" w:rsidRPr="0036632C" w:rsidRDefault="00B656BE" w:rsidP="000605ED">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0605ED">
      <w:pPr>
        <w:pStyle w:val="Zkladntext"/>
        <w:keepNext/>
        <w:rPr>
          <w:bCs/>
          <w:szCs w:val="22"/>
        </w:rPr>
      </w:pPr>
    </w:p>
    <w:p w:rsidR="00B656BE" w:rsidRPr="0036632C" w:rsidRDefault="00B656BE" w:rsidP="000605ED">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0605ED">
      <w:pPr>
        <w:pStyle w:val="Zkladntext"/>
        <w:keepNext/>
        <w:rPr>
          <w:b/>
          <w:bCs/>
          <w:szCs w:val="22"/>
        </w:rPr>
      </w:pPr>
    </w:p>
    <w:p w:rsidR="00850EF9" w:rsidRPr="0036632C" w:rsidRDefault="00850EF9" w:rsidP="000605ED">
      <w:pPr>
        <w:keepNext/>
        <w:rPr>
          <w:bCs/>
          <w:szCs w:val="22"/>
        </w:rPr>
      </w:pPr>
    </w:p>
    <w:p w:rsidR="00850EF9" w:rsidRPr="0036632C" w:rsidRDefault="00850EF9" w:rsidP="000605ED">
      <w:pPr>
        <w:keepNext/>
        <w:rPr>
          <w:bCs/>
          <w:szCs w:val="22"/>
        </w:rPr>
      </w:pPr>
    </w:p>
    <w:p w:rsidR="00850EF9" w:rsidRPr="0036632C" w:rsidRDefault="00850EF9" w:rsidP="000605ED">
      <w:pPr>
        <w:keepNext/>
        <w:rPr>
          <w:bCs/>
          <w:szCs w:val="22"/>
        </w:rPr>
      </w:pPr>
      <w:r w:rsidRPr="0036632C">
        <w:rPr>
          <w:bCs/>
          <w:szCs w:val="22"/>
        </w:rPr>
        <w:t>V </w:t>
      </w:r>
      <w:r>
        <w:rPr>
          <w:bCs/>
          <w:szCs w:val="22"/>
        </w:rPr>
        <w:t>…………….</w:t>
      </w:r>
      <w:r w:rsidRPr="0036632C">
        <w:rPr>
          <w:bCs/>
          <w:szCs w:val="22"/>
        </w:rPr>
        <w:t xml:space="preserve"> dne:</w:t>
      </w:r>
    </w:p>
    <w:p w:rsidR="00850EF9" w:rsidRPr="0036632C" w:rsidRDefault="00850EF9" w:rsidP="000605ED">
      <w:pPr>
        <w:keepNext/>
        <w:rPr>
          <w:bCs/>
          <w:szCs w:val="22"/>
        </w:rPr>
      </w:pPr>
    </w:p>
    <w:p w:rsidR="00850EF9" w:rsidRDefault="00850EF9" w:rsidP="000605ED">
      <w:pPr>
        <w:keepNext/>
        <w:rPr>
          <w:bCs/>
          <w:szCs w:val="22"/>
        </w:rPr>
      </w:pPr>
    </w:p>
    <w:p w:rsidR="00E84BA0" w:rsidRPr="0036632C" w:rsidRDefault="00E84BA0" w:rsidP="000605ED">
      <w:pPr>
        <w:keepNext/>
        <w:rPr>
          <w:bCs/>
          <w:szCs w:val="22"/>
        </w:rPr>
      </w:pPr>
    </w:p>
    <w:p w:rsidR="00850EF9" w:rsidRPr="0036632C" w:rsidRDefault="00850EF9" w:rsidP="000605ED">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0605ED">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0605ED">
            <w:pPr>
              <w:keepNext/>
              <w:tabs>
                <w:tab w:val="left" w:pos="5103"/>
              </w:tabs>
              <w:jc w:val="center"/>
              <w:rPr>
                <w:rFonts w:ascii="Arial" w:hAnsi="Arial" w:cs="Arial"/>
                <w:b/>
                <w:sz w:val="20"/>
              </w:rPr>
            </w:pPr>
            <w:r>
              <w:rPr>
                <w:b/>
                <w:szCs w:val="22"/>
              </w:rPr>
              <w:t>…………….</w:t>
            </w:r>
          </w:p>
          <w:p w:rsidR="00B56CAF" w:rsidRPr="006A2820" w:rsidRDefault="00EF704B" w:rsidP="000605ED">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left w:val="nil"/>
              <w:bottom w:val="nil"/>
              <w:right w:val="nil"/>
            </w:tcBorders>
          </w:tcPr>
          <w:p w:rsidR="00E84BA0" w:rsidRPr="006A2820" w:rsidRDefault="00E84BA0" w:rsidP="000605ED">
            <w:pPr>
              <w:keepNext/>
              <w:tabs>
                <w:tab w:val="left" w:pos="5103"/>
              </w:tabs>
              <w:jc w:val="center"/>
              <w:rPr>
                <w:szCs w:val="22"/>
              </w:rPr>
            </w:pPr>
          </w:p>
        </w:tc>
      </w:tr>
    </w:tbl>
    <w:p w:rsidR="00F16BD8" w:rsidRDefault="00F16BD8"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D81E44" w:rsidRPr="0025570A" w:rsidRDefault="00D81E44" w:rsidP="000605ED">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E" w:rsidRDefault="009E161E">
      <w:r>
        <w:separator/>
      </w:r>
    </w:p>
  </w:endnote>
  <w:endnote w:type="continuationSeparator" w:id="0">
    <w:p w:rsidR="009E161E" w:rsidRDefault="009E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2A1415F" wp14:editId="1F559801">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D2EF3">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D2EF3">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60141D" w:rsidRPr="0060141D">
      <w:rPr>
        <w:rStyle w:val="slostrnky"/>
        <w:rFonts w:ascii="Arial" w:hAnsi="Arial" w:cs="Arial"/>
        <w:color w:val="17365D" w:themeColor="text2" w:themeShade="BF"/>
        <w:sz w:val="16"/>
      </w:rPr>
      <w:t>Revitalizace lesoparku Benátky a Hulváckého kopce (DÚR+IČ)</w:t>
    </w:r>
    <w:r w:rsidR="00667809" w:rsidRPr="00667809">
      <w:t xml:space="preserve"> </w:t>
    </w:r>
    <w:r w:rsidR="00667809" w:rsidRPr="00667809">
      <w:rPr>
        <w:rStyle w:val="slostrnky"/>
        <w:rFonts w:ascii="Arial" w:hAnsi="Arial" w:cs="Arial"/>
        <w:color w:val="17365D" w:themeColor="text2" w:themeShade="BF"/>
        <w:sz w:val="16"/>
      </w:rPr>
      <w:t>_II.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E" w:rsidRDefault="009E161E">
      <w:r>
        <w:separator/>
      </w:r>
    </w:p>
  </w:footnote>
  <w:footnote w:type="continuationSeparator" w:id="0">
    <w:p w:rsidR="009E161E" w:rsidRDefault="009E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066705F" wp14:editId="34F1C7A0">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94935F0"/>
    <w:multiLevelType w:val="hybridMultilevel"/>
    <w:tmpl w:val="E15AC1D6"/>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E44600"/>
    <w:multiLevelType w:val="hybridMultilevel"/>
    <w:tmpl w:val="9FF607D8"/>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F7BC5"/>
    <w:multiLevelType w:val="hybridMultilevel"/>
    <w:tmpl w:val="0AD62636"/>
    <w:lvl w:ilvl="0" w:tplc="36582A48">
      <w:start w:val="6"/>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FC152D"/>
    <w:multiLevelType w:val="hybridMultilevel"/>
    <w:tmpl w:val="E7F8B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22"/>
  </w:num>
  <w:num w:numId="3">
    <w:abstractNumId w:val="31"/>
  </w:num>
  <w:num w:numId="4">
    <w:abstractNumId w:val="21"/>
  </w:num>
  <w:num w:numId="5">
    <w:abstractNumId w:val="30"/>
  </w:num>
  <w:num w:numId="6">
    <w:abstractNumId w:val="33"/>
  </w:num>
  <w:num w:numId="7">
    <w:abstractNumId w:val="19"/>
  </w:num>
  <w:num w:numId="8">
    <w:abstractNumId w:val="1"/>
  </w:num>
  <w:num w:numId="9">
    <w:abstractNumId w:val="2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num>
  <w:num w:numId="13">
    <w:abstractNumId w:val="11"/>
  </w:num>
  <w:num w:numId="14">
    <w:abstractNumId w:val="20"/>
  </w:num>
  <w:num w:numId="15">
    <w:abstractNumId w:val="23"/>
  </w:num>
  <w:num w:numId="16">
    <w:abstractNumId w:val="8"/>
  </w:num>
  <w:num w:numId="17">
    <w:abstractNumId w:val="32"/>
  </w:num>
  <w:num w:numId="18">
    <w:abstractNumId w:val="17"/>
  </w:num>
  <w:num w:numId="19">
    <w:abstractNumId w:val="26"/>
  </w:num>
  <w:num w:numId="20">
    <w:abstractNumId w:val="13"/>
  </w:num>
  <w:num w:numId="21">
    <w:abstractNumId w:val="7"/>
  </w:num>
  <w:num w:numId="22">
    <w:abstractNumId w:val="12"/>
  </w:num>
  <w:num w:numId="23">
    <w:abstractNumId w:val="16"/>
  </w:num>
  <w:num w:numId="24">
    <w:abstractNumId w:val="25"/>
  </w:num>
  <w:num w:numId="25">
    <w:abstractNumId w:val="18"/>
  </w:num>
  <w:num w:numId="26">
    <w:abstractNumId w:val="10"/>
  </w:num>
  <w:num w:numId="27">
    <w:abstractNumId w:val="28"/>
  </w:num>
  <w:num w:numId="28">
    <w:abstractNumId w:val="5"/>
  </w:num>
  <w:num w:numId="29">
    <w:abstractNumId w:val="3"/>
  </w:num>
  <w:num w:numId="30">
    <w:abstractNumId w:val="0"/>
  </w:num>
  <w:num w:numId="31">
    <w:abstractNumId w:val="24"/>
  </w:num>
  <w:num w:numId="32">
    <w:abstractNumId w:val="4"/>
  </w:num>
  <w:num w:numId="33">
    <w:abstractNumId w:val="2"/>
  </w:num>
  <w:num w:numId="34">
    <w:abstractNumId w:val="6"/>
  </w:num>
  <w:num w:numId="35">
    <w:abstractNumId w:val="9"/>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7BE"/>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A86"/>
    <w:rsid w:val="00135E4C"/>
    <w:rsid w:val="001414D0"/>
    <w:rsid w:val="001426D1"/>
    <w:rsid w:val="00143526"/>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A0AAE"/>
    <w:rsid w:val="002A4676"/>
    <w:rsid w:val="002A46CA"/>
    <w:rsid w:val="002A6EED"/>
    <w:rsid w:val="002B1568"/>
    <w:rsid w:val="002B3C4F"/>
    <w:rsid w:val="002B78C8"/>
    <w:rsid w:val="002C06C4"/>
    <w:rsid w:val="002C3B88"/>
    <w:rsid w:val="002C7F0D"/>
    <w:rsid w:val="002D1645"/>
    <w:rsid w:val="002D2EF3"/>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3A8"/>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83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45B46"/>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431C"/>
    <w:rsid w:val="005C51D7"/>
    <w:rsid w:val="005C5DA2"/>
    <w:rsid w:val="005C6CB2"/>
    <w:rsid w:val="005D1971"/>
    <w:rsid w:val="005D1D94"/>
    <w:rsid w:val="005D29C3"/>
    <w:rsid w:val="005D470E"/>
    <w:rsid w:val="005D6375"/>
    <w:rsid w:val="005D65C0"/>
    <w:rsid w:val="005D6A5C"/>
    <w:rsid w:val="005E4788"/>
    <w:rsid w:val="005E483C"/>
    <w:rsid w:val="005E49E2"/>
    <w:rsid w:val="005E5F7A"/>
    <w:rsid w:val="005E6159"/>
    <w:rsid w:val="005E7BE1"/>
    <w:rsid w:val="005F0A17"/>
    <w:rsid w:val="005F2859"/>
    <w:rsid w:val="005F6F61"/>
    <w:rsid w:val="0060141D"/>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7D4B"/>
    <w:rsid w:val="00661710"/>
    <w:rsid w:val="00662E0D"/>
    <w:rsid w:val="00665B00"/>
    <w:rsid w:val="00665C19"/>
    <w:rsid w:val="0066780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D65"/>
    <w:rsid w:val="006B474E"/>
    <w:rsid w:val="006C03AD"/>
    <w:rsid w:val="006C2625"/>
    <w:rsid w:val="006C31BF"/>
    <w:rsid w:val="006C3305"/>
    <w:rsid w:val="006C4A4C"/>
    <w:rsid w:val="006C5DCC"/>
    <w:rsid w:val="006C63B4"/>
    <w:rsid w:val="006C6A5E"/>
    <w:rsid w:val="006D014A"/>
    <w:rsid w:val="006D1C74"/>
    <w:rsid w:val="006D2A06"/>
    <w:rsid w:val="006D2B12"/>
    <w:rsid w:val="006D2C71"/>
    <w:rsid w:val="006D2D62"/>
    <w:rsid w:val="006D338F"/>
    <w:rsid w:val="006D4796"/>
    <w:rsid w:val="006D5552"/>
    <w:rsid w:val="006D6ED9"/>
    <w:rsid w:val="006D6F8E"/>
    <w:rsid w:val="006D756E"/>
    <w:rsid w:val="006E06F5"/>
    <w:rsid w:val="006E08B4"/>
    <w:rsid w:val="006E0C7B"/>
    <w:rsid w:val="006E2E97"/>
    <w:rsid w:val="006E3C85"/>
    <w:rsid w:val="006E4EEA"/>
    <w:rsid w:val="006E6372"/>
    <w:rsid w:val="006F0A1B"/>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73D4A"/>
    <w:rsid w:val="007765E7"/>
    <w:rsid w:val="00777686"/>
    <w:rsid w:val="00777993"/>
    <w:rsid w:val="00777DA6"/>
    <w:rsid w:val="00780EE4"/>
    <w:rsid w:val="00781C88"/>
    <w:rsid w:val="00781D26"/>
    <w:rsid w:val="00786A69"/>
    <w:rsid w:val="00786CCE"/>
    <w:rsid w:val="00787507"/>
    <w:rsid w:val="00791F06"/>
    <w:rsid w:val="0079206C"/>
    <w:rsid w:val="00793CEA"/>
    <w:rsid w:val="00794E94"/>
    <w:rsid w:val="00795052"/>
    <w:rsid w:val="00795264"/>
    <w:rsid w:val="00795C35"/>
    <w:rsid w:val="007968DB"/>
    <w:rsid w:val="00796A1F"/>
    <w:rsid w:val="007A1000"/>
    <w:rsid w:val="007A1085"/>
    <w:rsid w:val="007B00EA"/>
    <w:rsid w:val="007B0C34"/>
    <w:rsid w:val="007B13AF"/>
    <w:rsid w:val="007B1838"/>
    <w:rsid w:val="007B4F60"/>
    <w:rsid w:val="007B55D6"/>
    <w:rsid w:val="007B7CCA"/>
    <w:rsid w:val="007C07AB"/>
    <w:rsid w:val="007C3BAE"/>
    <w:rsid w:val="007C45DF"/>
    <w:rsid w:val="007C5AAD"/>
    <w:rsid w:val="007D1B1A"/>
    <w:rsid w:val="007D1D07"/>
    <w:rsid w:val="007D2C1B"/>
    <w:rsid w:val="007D4952"/>
    <w:rsid w:val="007D6A75"/>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130A"/>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44E3"/>
    <w:rsid w:val="00937DE9"/>
    <w:rsid w:val="009438CE"/>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A0115B"/>
    <w:rsid w:val="00A027EE"/>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8559E"/>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36E"/>
    <w:rsid w:val="00B1149C"/>
    <w:rsid w:val="00B147BD"/>
    <w:rsid w:val="00B17650"/>
    <w:rsid w:val="00B230C5"/>
    <w:rsid w:val="00B32127"/>
    <w:rsid w:val="00B32767"/>
    <w:rsid w:val="00B32D8B"/>
    <w:rsid w:val="00B336FC"/>
    <w:rsid w:val="00B33F3C"/>
    <w:rsid w:val="00B355CE"/>
    <w:rsid w:val="00B3560E"/>
    <w:rsid w:val="00B374AE"/>
    <w:rsid w:val="00B431F3"/>
    <w:rsid w:val="00B45E45"/>
    <w:rsid w:val="00B46641"/>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0E7D"/>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17B"/>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3189"/>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036"/>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7A9A"/>
    <w:rsid w:val="00F311E5"/>
    <w:rsid w:val="00F3336C"/>
    <w:rsid w:val="00F347CA"/>
    <w:rsid w:val="00F35743"/>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364F"/>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18173092">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93831100">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87609267">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vesel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2A5D-FEDD-4F3A-B51C-34C20BD2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13</Pages>
  <Words>5223</Words>
  <Characters>30820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44</cp:revision>
  <cp:lastPrinted>2017-06-20T08:47:00Z</cp:lastPrinted>
  <dcterms:created xsi:type="dcterms:W3CDTF">2016-09-21T08:49:00Z</dcterms:created>
  <dcterms:modified xsi:type="dcterms:W3CDTF">2017-06-21T11:52:00Z</dcterms:modified>
</cp:coreProperties>
</file>