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BF" w:rsidRDefault="00C927E5" w:rsidP="00AD708A">
      <w:pPr>
        <w:pStyle w:val="Nadpis2"/>
      </w:pPr>
      <w:r>
        <w:t xml:space="preserve">Požadavky na obsah smlouvy - </w:t>
      </w:r>
      <w:r w:rsidR="000F62BF" w:rsidRPr="000F62BF">
        <w:t>Obchodní podmínky</w:t>
      </w:r>
    </w:p>
    <w:p w:rsidR="000F62BF" w:rsidRPr="000F62BF" w:rsidRDefault="000F62BF" w:rsidP="000F62BF"/>
    <w:p w:rsidR="000F62BF" w:rsidRDefault="000F62BF" w:rsidP="00791CA6">
      <w:pPr>
        <w:ind w:right="0"/>
        <w:rPr>
          <w:b w:val="0"/>
        </w:rPr>
      </w:pPr>
      <w:r w:rsidRPr="000F62BF">
        <w:rPr>
          <w:b w:val="0"/>
        </w:rPr>
        <w:t xml:space="preserve">V nabídce uchazeče bude předložen návrh úvěrové smlouvy, ve kterém se rozsah a obsah vzájemných práv a povinností s tohoto návrhu vyplývající bude řídit </w:t>
      </w:r>
      <w:proofErr w:type="spellStart"/>
      <w:r w:rsidR="00C927E5" w:rsidRPr="00996B0B">
        <w:rPr>
          <w:b w:val="0"/>
        </w:rPr>
        <w:t>ust</w:t>
      </w:r>
      <w:proofErr w:type="spellEnd"/>
      <w:r w:rsidR="00C927E5" w:rsidRPr="00996B0B">
        <w:rPr>
          <w:b w:val="0"/>
        </w:rPr>
        <w:t>. §</w:t>
      </w:r>
      <w:r w:rsidR="00F34D31">
        <w:rPr>
          <w:b w:val="0"/>
        </w:rPr>
        <w:t xml:space="preserve"> 2395 a násl. </w:t>
      </w:r>
      <w:r w:rsidR="00C927E5" w:rsidRPr="00996B0B">
        <w:rPr>
          <w:b w:val="0"/>
        </w:rPr>
        <w:t>zákona č. 89/2012 Sb., občanský zákoník</w:t>
      </w:r>
      <w:r w:rsidR="00996B0B">
        <w:rPr>
          <w:b w:val="0"/>
          <w:i/>
        </w:rPr>
        <w:t>.</w:t>
      </w:r>
      <w:r w:rsidRPr="00996B0B">
        <w:rPr>
          <w:b w:val="0"/>
        </w:rPr>
        <w:t xml:space="preserve"> Návrh úvěrov</w:t>
      </w:r>
      <w:r w:rsidRPr="000F62BF">
        <w:rPr>
          <w:b w:val="0"/>
        </w:rPr>
        <w:t>é smlouvy musí mimo jiné splňovat násle</w:t>
      </w:r>
      <w:r>
        <w:rPr>
          <w:b w:val="0"/>
        </w:rPr>
        <w:t xml:space="preserve">dující požadavky zadavatele:   </w:t>
      </w:r>
    </w:p>
    <w:p w:rsidR="00791CA6" w:rsidRPr="00791CA6" w:rsidRDefault="00791CA6" w:rsidP="00791CA6">
      <w:pPr>
        <w:pStyle w:val="Odstavecseseznamem"/>
        <w:numPr>
          <w:ilvl w:val="0"/>
          <w:numId w:val="1"/>
        </w:numPr>
        <w:ind w:left="284" w:right="0" w:hanging="142"/>
        <w:rPr>
          <w:b w:val="0"/>
          <w:u w:val="single"/>
        </w:rPr>
      </w:pPr>
      <w:r w:rsidRPr="00791CA6">
        <w:rPr>
          <w:b w:val="0"/>
          <w:u w:val="single"/>
        </w:rPr>
        <w:t>Předmět</w:t>
      </w:r>
    </w:p>
    <w:p w:rsidR="00791CA6" w:rsidRPr="00791CA6" w:rsidRDefault="00791CA6" w:rsidP="00791CA6">
      <w:pPr>
        <w:spacing w:before="120"/>
        <w:ind w:left="284" w:right="0"/>
        <w:rPr>
          <w:b w:val="0"/>
        </w:rPr>
      </w:pPr>
      <w:r w:rsidRPr="00791CA6">
        <w:rPr>
          <w:b w:val="0"/>
        </w:rPr>
        <w:t>Předmětem smlouvy je poskytnutí úvěru ve výši 55 mil. Kč pro městský obvod Moravská Ostrava a Přívoz na nákup nemovitých věcí a věcí movitých dle přílohy č. 3 Zadávací dokumentace.</w:t>
      </w:r>
    </w:p>
    <w:p w:rsidR="00791CA6" w:rsidRPr="00791CA6" w:rsidRDefault="00791CA6" w:rsidP="00791CA6">
      <w:pPr>
        <w:spacing w:before="120"/>
        <w:ind w:left="284" w:right="0"/>
        <w:rPr>
          <w:b w:val="0"/>
        </w:rPr>
      </w:pPr>
      <w:r w:rsidRPr="00791CA6">
        <w:rPr>
          <w:b w:val="0"/>
        </w:rPr>
        <w:t>Úvěr ve výši 55 mil. Kč bude poskytnut za následujících podmínek:</w:t>
      </w:r>
    </w:p>
    <w:p w:rsidR="00791CA6" w:rsidRPr="00791CA6" w:rsidRDefault="00791CA6" w:rsidP="00791CA6">
      <w:pPr>
        <w:pStyle w:val="Odstavecseseznamem"/>
        <w:numPr>
          <w:ilvl w:val="1"/>
          <w:numId w:val="8"/>
        </w:numPr>
        <w:ind w:left="850" w:right="0" w:hanging="425"/>
        <w:rPr>
          <w:b w:val="0"/>
        </w:rPr>
      </w:pPr>
      <w:r w:rsidRPr="00791CA6">
        <w:rPr>
          <w:b w:val="0"/>
        </w:rPr>
        <w:t>měna, ve které bude úvěr poskytnut: CZK</w:t>
      </w:r>
    </w:p>
    <w:p w:rsidR="00791CA6" w:rsidRPr="00791CA6" w:rsidRDefault="00791CA6" w:rsidP="00791CA6">
      <w:pPr>
        <w:pStyle w:val="Odstavecseseznamem"/>
        <w:numPr>
          <w:ilvl w:val="1"/>
          <w:numId w:val="8"/>
        </w:numPr>
        <w:ind w:left="850" w:right="0" w:hanging="425"/>
        <w:rPr>
          <w:b w:val="0"/>
        </w:rPr>
      </w:pPr>
      <w:r w:rsidRPr="00791CA6">
        <w:rPr>
          <w:b w:val="0"/>
        </w:rPr>
        <w:t>způsob a termíny čerpání úvěru: čerpání úvěru jednorázově v plné výši po podpisu smlouvy ve prospěch účtu statutárního města Ostrava - městského obvodu Moravská Ostrava a Přívoz. Předpokládaný termín uzavření smlouvy: prosinec 2015</w:t>
      </w:r>
    </w:p>
    <w:p w:rsidR="00791CA6" w:rsidRPr="00791CA6" w:rsidRDefault="00791CA6" w:rsidP="00791CA6">
      <w:pPr>
        <w:pStyle w:val="Odstavecseseznamem"/>
        <w:numPr>
          <w:ilvl w:val="1"/>
          <w:numId w:val="8"/>
        </w:numPr>
        <w:ind w:left="850" w:right="0" w:hanging="425"/>
        <w:rPr>
          <w:b w:val="0"/>
        </w:rPr>
      </w:pPr>
      <w:r w:rsidRPr="00791CA6">
        <w:rPr>
          <w:b w:val="0"/>
        </w:rPr>
        <w:t>zahájení splácení jistiny úvěru: I. čtvrtletí 2016</w:t>
      </w:r>
    </w:p>
    <w:p w:rsidR="00791CA6" w:rsidRPr="00791CA6" w:rsidRDefault="00791CA6" w:rsidP="00791CA6">
      <w:pPr>
        <w:pStyle w:val="Odstavecseseznamem"/>
        <w:numPr>
          <w:ilvl w:val="1"/>
          <w:numId w:val="8"/>
        </w:numPr>
        <w:ind w:left="850" w:right="0" w:hanging="425"/>
        <w:rPr>
          <w:b w:val="0"/>
        </w:rPr>
      </w:pPr>
      <w:r w:rsidRPr="00791CA6">
        <w:rPr>
          <w:b w:val="0"/>
        </w:rPr>
        <w:t>doba splácení úvěru: 20 let od data podpisu úvěrové smlouvy s možností předčasného splacení úvěru bez sankcí a jiných nákladů</w:t>
      </w:r>
    </w:p>
    <w:p w:rsidR="00791CA6" w:rsidRPr="00791CA6" w:rsidRDefault="00791CA6" w:rsidP="00791CA6">
      <w:pPr>
        <w:pStyle w:val="Odstavecseseznamem"/>
        <w:numPr>
          <w:ilvl w:val="1"/>
          <w:numId w:val="8"/>
        </w:numPr>
        <w:ind w:left="850" w:right="0" w:hanging="425"/>
        <w:rPr>
          <w:b w:val="0"/>
        </w:rPr>
      </w:pPr>
      <w:r w:rsidRPr="00791CA6">
        <w:rPr>
          <w:b w:val="0"/>
        </w:rPr>
        <w:t>frekvence splácení (jistiny a úroků) : čtvrtletní splátky (20. kalendářní den posledního měsíce čtvrtletí)</w:t>
      </w:r>
    </w:p>
    <w:p w:rsidR="00791CA6" w:rsidRPr="00791CA6" w:rsidRDefault="00791CA6" w:rsidP="00791CA6">
      <w:pPr>
        <w:pStyle w:val="Odstavecseseznamem"/>
        <w:numPr>
          <w:ilvl w:val="1"/>
          <w:numId w:val="8"/>
        </w:numPr>
        <w:ind w:left="850" w:right="0" w:hanging="425"/>
        <w:rPr>
          <w:b w:val="0"/>
        </w:rPr>
      </w:pPr>
      <w:r w:rsidRPr="00791CA6">
        <w:rPr>
          <w:b w:val="0"/>
        </w:rPr>
        <w:t>forma splácení: rovnoměrné splátky</w:t>
      </w:r>
    </w:p>
    <w:p w:rsidR="00791CA6" w:rsidRPr="00791CA6" w:rsidRDefault="00791CA6" w:rsidP="00791CA6">
      <w:pPr>
        <w:pStyle w:val="Odstavecseseznamem"/>
        <w:numPr>
          <w:ilvl w:val="1"/>
          <w:numId w:val="8"/>
        </w:numPr>
        <w:ind w:left="850" w:right="0" w:hanging="425"/>
        <w:rPr>
          <w:b w:val="0"/>
        </w:rPr>
      </w:pPr>
      <w:r w:rsidRPr="00791CA6">
        <w:rPr>
          <w:b w:val="0"/>
        </w:rPr>
        <w:t xml:space="preserve">úroková sazba: fixní po celou dobu splácení úvěru </w:t>
      </w:r>
    </w:p>
    <w:p w:rsidR="00791CA6" w:rsidRPr="00791CA6" w:rsidRDefault="00791CA6" w:rsidP="00791CA6">
      <w:pPr>
        <w:pStyle w:val="Odstavecseseznamem"/>
        <w:ind w:left="709" w:right="0" w:hanging="425"/>
        <w:rPr>
          <w:b w:val="0"/>
        </w:rPr>
      </w:pPr>
    </w:p>
    <w:p w:rsidR="000F62BF" w:rsidRPr="000F62BF" w:rsidRDefault="000F62BF" w:rsidP="00791CA6">
      <w:pPr>
        <w:pStyle w:val="Odstavecseseznamem"/>
        <w:numPr>
          <w:ilvl w:val="0"/>
          <w:numId w:val="1"/>
        </w:numPr>
        <w:ind w:left="284" w:right="0" w:hanging="142"/>
        <w:rPr>
          <w:b w:val="0"/>
        </w:rPr>
      </w:pPr>
      <w:r w:rsidRPr="000F62BF">
        <w:rPr>
          <w:b w:val="0"/>
          <w:u w:val="single"/>
        </w:rPr>
        <w:t>Cena a platební podmínky</w:t>
      </w:r>
    </w:p>
    <w:p w:rsidR="000F62BF" w:rsidRPr="000F62BF" w:rsidRDefault="000F62BF" w:rsidP="00791CA6">
      <w:pPr>
        <w:pStyle w:val="Odstavecseseznamem"/>
        <w:ind w:left="284" w:right="0"/>
        <w:rPr>
          <w:b w:val="0"/>
        </w:rPr>
      </w:pPr>
      <w:r w:rsidRPr="000F62BF">
        <w:rPr>
          <w:b w:val="0"/>
        </w:rPr>
        <w:t>Uchazeč v předloženém návrhu úvěrové smlouvy stanoví, v souladu s podmínkami stanovenými zadavatelem touto zadávací dokumentací: výši splátek a způsob splácení poskytnutého úvěru (přílohou bude splátkový kalendář); úroky a způsob jejich úhrady; strukturu, splatnost a výši veškerých poplatků, provizí, jakož i jakýchkoliv jiných další</w:t>
      </w:r>
      <w:r>
        <w:rPr>
          <w:b w:val="0"/>
        </w:rPr>
        <w:t>ch</w:t>
      </w:r>
      <w:r w:rsidRPr="000F62BF">
        <w:rPr>
          <w:b w:val="0"/>
        </w:rPr>
        <w:t xml:space="preserve"> odměn souvisejících s poskytnutím úvěru. </w:t>
      </w:r>
    </w:p>
    <w:p w:rsidR="000F62BF" w:rsidRDefault="000F62BF" w:rsidP="00791CA6">
      <w:pPr>
        <w:pStyle w:val="Odstavecseseznamem"/>
        <w:numPr>
          <w:ilvl w:val="0"/>
          <w:numId w:val="1"/>
        </w:numPr>
        <w:ind w:left="284" w:right="0" w:hanging="142"/>
        <w:rPr>
          <w:b w:val="0"/>
          <w:u w:val="single"/>
        </w:rPr>
      </w:pPr>
      <w:r w:rsidRPr="000F62BF">
        <w:rPr>
          <w:b w:val="0"/>
          <w:u w:val="single"/>
        </w:rPr>
        <w:t>Objektivní podmínky, za nichž je možno překročit výši nabídkové ceny</w:t>
      </w:r>
    </w:p>
    <w:p w:rsidR="000F62BF" w:rsidRPr="000F62BF" w:rsidRDefault="000F62BF" w:rsidP="00791CA6">
      <w:pPr>
        <w:pStyle w:val="Odstavecseseznamem"/>
        <w:ind w:left="284" w:right="0"/>
        <w:rPr>
          <w:b w:val="0"/>
          <w:u w:val="single"/>
        </w:rPr>
      </w:pPr>
      <w:r w:rsidRPr="000F62BF">
        <w:rPr>
          <w:b w:val="0"/>
        </w:rPr>
        <w:t>Zadavatel nepřip</w:t>
      </w:r>
      <w:r w:rsidR="00C927E5">
        <w:rPr>
          <w:b w:val="0"/>
        </w:rPr>
        <w:t>ouští překročení nabídkové ceny, z</w:t>
      </w:r>
      <w:r w:rsidRPr="000F62BF">
        <w:rPr>
          <w:b w:val="0"/>
        </w:rPr>
        <w:t xml:space="preserve">výšení </w:t>
      </w:r>
      <w:r w:rsidR="00C927E5">
        <w:rPr>
          <w:b w:val="0"/>
        </w:rPr>
        <w:t>fixní úrokové sazby</w:t>
      </w:r>
      <w:r w:rsidRPr="000F62BF">
        <w:rPr>
          <w:b w:val="0"/>
        </w:rPr>
        <w:t xml:space="preserve"> a všech poplatků, provizí, jakož i jakýchkoliv jiných dalších odměn souvisejících s poskytnutím úvěru je nepřípustné.</w:t>
      </w:r>
    </w:p>
    <w:p w:rsidR="000F62BF" w:rsidRPr="000F62BF" w:rsidRDefault="000F62BF" w:rsidP="00791CA6">
      <w:pPr>
        <w:pStyle w:val="Odstavecseseznamem"/>
        <w:numPr>
          <w:ilvl w:val="0"/>
          <w:numId w:val="1"/>
        </w:numPr>
        <w:ind w:left="284" w:right="0" w:hanging="142"/>
        <w:rPr>
          <w:b w:val="0"/>
        </w:rPr>
      </w:pPr>
      <w:r w:rsidRPr="000F62BF">
        <w:rPr>
          <w:b w:val="0"/>
          <w:u w:val="single"/>
        </w:rPr>
        <w:t xml:space="preserve">Termín plnění </w:t>
      </w:r>
      <w:proofErr w:type="gramStart"/>
      <w:r w:rsidRPr="000F62BF">
        <w:rPr>
          <w:b w:val="0"/>
        </w:rPr>
        <w:t>viz. čl.</w:t>
      </w:r>
      <w:proofErr w:type="gramEnd"/>
      <w:r w:rsidRPr="000F62BF">
        <w:rPr>
          <w:b w:val="0"/>
        </w:rPr>
        <w:t xml:space="preserve"> I Vymezení předmětu veřejné zakázky </w:t>
      </w:r>
      <w:r w:rsidR="008B0FF1">
        <w:rPr>
          <w:b w:val="0"/>
        </w:rPr>
        <w:t>Z</w:t>
      </w:r>
      <w:r w:rsidRPr="000F62BF">
        <w:rPr>
          <w:b w:val="0"/>
        </w:rPr>
        <w:t xml:space="preserve">adávací dokumentace.        </w:t>
      </w:r>
    </w:p>
    <w:p w:rsidR="000F62BF" w:rsidRDefault="000F62BF" w:rsidP="00791CA6">
      <w:pPr>
        <w:pStyle w:val="Odstavecseseznamem"/>
        <w:numPr>
          <w:ilvl w:val="0"/>
          <w:numId w:val="1"/>
        </w:numPr>
        <w:ind w:left="284" w:right="0" w:hanging="142"/>
        <w:rPr>
          <w:b w:val="0"/>
          <w:u w:val="single"/>
        </w:rPr>
      </w:pPr>
      <w:r w:rsidRPr="000F62BF">
        <w:rPr>
          <w:b w:val="0"/>
          <w:u w:val="single"/>
        </w:rPr>
        <w:t>Podmínky čerpání a splácení úvěru</w:t>
      </w:r>
    </w:p>
    <w:p w:rsidR="000F62BF" w:rsidRPr="000F62BF" w:rsidRDefault="000F62BF" w:rsidP="00791CA6">
      <w:pPr>
        <w:pStyle w:val="Odstavecseseznamem"/>
        <w:ind w:left="284" w:right="0"/>
        <w:rPr>
          <w:b w:val="0"/>
          <w:u w:val="single"/>
        </w:rPr>
      </w:pPr>
      <w:r w:rsidRPr="000F62BF">
        <w:rPr>
          <w:b w:val="0"/>
        </w:rPr>
        <w:t>Absolutní podmínky zadavatele spojené s čerpáním a splácením úvěru:</w:t>
      </w:r>
    </w:p>
    <w:p w:rsidR="000C7C7A" w:rsidRPr="00CF4B55" w:rsidRDefault="000C7C7A" w:rsidP="00791CA6">
      <w:pPr>
        <w:pStyle w:val="Odstavecseseznamem"/>
        <w:numPr>
          <w:ilvl w:val="0"/>
          <w:numId w:val="2"/>
        </w:numPr>
        <w:snapToGrid w:val="0"/>
        <w:ind w:right="0"/>
        <w:rPr>
          <w:b w:val="0"/>
          <w:color w:val="auto"/>
        </w:rPr>
      </w:pPr>
      <w:r w:rsidRPr="00CF4B55">
        <w:rPr>
          <w:b w:val="0"/>
          <w:color w:val="auto"/>
        </w:rPr>
        <w:t xml:space="preserve">poskytnutí úvěru provede věřitel převodem na účet statutárního města Ostrava - městského obvodu Moravská Ostrava a Přívoz: č. účtu 19-923761/0100, vedený </w:t>
      </w:r>
      <w:r w:rsidR="00077422" w:rsidRPr="00CF4B55">
        <w:rPr>
          <w:b w:val="0"/>
          <w:color w:val="auto"/>
        </w:rPr>
        <w:t xml:space="preserve">v CZK </w:t>
      </w:r>
      <w:r w:rsidR="00077422" w:rsidRPr="00CF4B55">
        <w:rPr>
          <w:b w:val="0"/>
          <w:color w:val="auto"/>
        </w:rPr>
        <w:br/>
        <w:t xml:space="preserve">u Komerční banky, a.s., </w:t>
      </w:r>
      <w:r w:rsidRPr="00CF4B55">
        <w:rPr>
          <w:b w:val="0"/>
          <w:color w:val="auto"/>
        </w:rPr>
        <w:t>pobočky Ostrava,</w:t>
      </w:r>
      <w:r w:rsidR="00BD1278" w:rsidRPr="00CF4B55">
        <w:rPr>
          <w:b w:val="0"/>
          <w:color w:val="auto"/>
        </w:rPr>
        <w:t xml:space="preserve"> nejpozději </w:t>
      </w:r>
      <w:r w:rsidR="00701251" w:rsidRPr="00CF4B55">
        <w:rPr>
          <w:b w:val="0"/>
          <w:color w:val="auto"/>
        </w:rPr>
        <w:t>do 5 kalendářních dnů ode dne uzavření</w:t>
      </w:r>
      <w:r w:rsidR="00BD1278" w:rsidRPr="00CF4B55">
        <w:rPr>
          <w:b w:val="0"/>
          <w:color w:val="auto"/>
        </w:rPr>
        <w:t xml:space="preserve"> úvěrové smlouvy</w:t>
      </w:r>
      <w:r w:rsidR="00701251" w:rsidRPr="00CF4B55">
        <w:rPr>
          <w:b w:val="0"/>
          <w:color w:val="auto"/>
        </w:rPr>
        <w:t xml:space="preserve"> a</w:t>
      </w:r>
      <w:r w:rsidR="00BD1278" w:rsidRPr="00CF4B55">
        <w:rPr>
          <w:b w:val="0"/>
          <w:color w:val="auto"/>
        </w:rPr>
        <w:t xml:space="preserve"> bez dokládání jakýchkoliv písemností a plnění dalších podmínek směřujících k jeho uvolnění,</w:t>
      </w:r>
    </w:p>
    <w:p w:rsidR="009D7985" w:rsidRPr="00CF4B55" w:rsidRDefault="009D7985" w:rsidP="00791CA6">
      <w:pPr>
        <w:pStyle w:val="Odstavecseseznamem"/>
        <w:numPr>
          <w:ilvl w:val="0"/>
          <w:numId w:val="2"/>
        </w:numPr>
        <w:snapToGrid w:val="0"/>
        <w:ind w:right="0"/>
        <w:rPr>
          <w:b w:val="0"/>
          <w:color w:val="auto"/>
        </w:rPr>
      </w:pPr>
      <w:r w:rsidRPr="00CF4B55">
        <w:rPr>
          <w:b w:val="0"/>
          <w:color w:val="auto"/>
        </w:rPr>
        <w:t>splátky jistiny, úroků a dalších souvisejících poplatků budou hrazeny dlužníkem převodem na č. účtu věřitele ………………., vedeného v CZK u …………………………………….,</w:t>
      </w:r>
    </w:p>
    <w:p w:rsidR="000F62BF" w:rsidRPr="00CF4B55" w:rsidRDefault="000F62BF" w:rsidP="00791CA6">
      <w:pPr>
        <w:pStyle w:val="Odstavecseseznamem"/>
        <w:numPr>
          <w:ilvl w:val="0"/>
          <w:numId w:val="2"/>
        </w:numPr>
        <w:ind w:right="0"/>
        <w:rPr>
          <w:b w:val="0"/>
          <w:color w:val="auto"/>
        </w:rPr>
      </w:pPr>
      <w:r w:rsidRPr="00CF4B55">
        <w:rPr>
          <w:b w:val="0"/>
          <w:color w:val="auto"/>
        </w:rPr>
        <w:t>úroky a další poplatky budou vždy účtovány z poskytnuté a dosud nesplacené částky jistiny,</w:t>
      </w:r>
    </w:p>
    <w:p w:rsidR="000F62BF" w:rsidRPr="00CF4B55" w:rsidRDefault="000F62BF" w:rsidP="00791CA6">
      <w:pPr>
        <w:pStyle w:val="Odstavecseseznamem"/>
        <w:numPr>
          <w:ilvl w:val="0"/>
          <w:numId w:val="2"/>
        </w:numPr>
        <w:ind w:right="0"/>
        <w:rPr>
          <w:b w:val="0"/>
          <w:color w:val="auto"/>
        </w:rPr>
      </w:pPr>
      <w:r w:rsidRPr="00CF4B55">
        <w:rPr>
          <w:b w:val="0"/>
          <w:color w:val="auto"/>
        </w:rPr>
        <w:t>uchazeč umožní na základě žádosti dlužníka odložení termínů poskytnutí úvěru až o 6 měsíců bez jakýchkoliv sankčních poplatků,</w:t>
      </w:r>
      <w:r w:rsidR="00A64DA8" w:rsidRPr="00CF4B55">
        <w:rPr>
          <w:b w:val="0"/>
          <w:color w:val="auto"/>
        </w:rPr>
        <w:t xml:space="preserve"> </w:t>
      </w:r>
      <w:r w:rsidRPr="00CF4B55">
        <w:rPr>
          <w:b w:val="0"/>
          <w:color w:val="auto"/>
        </w:rPr>
        <w:t>mimořádné splátky jistiny včetně předčasného splacení úvěru bude umožněno bez sankčních poplatků a jiných nákladů,</w:t>
      </w:r>
    </w:p>
    <w:p w:rsidR="000F62BF" w:rsidRPr="00CF4B55" w:rsidRDefault="000F62BF" w:rsidP="00791CA6">
      <w:pPr>
        <w:pStyle w:val="Odstavecseseznamem"/>
        <w:numPr>
          <w:ilvl w:val="0"/>
          <w:numId w:val="2"/>
        </w:numPr>
        <w:ind w:right="0"/>
        <w:rPr>
          <w:b w:val="0"/>
          <w:color w:val="auto"/>
        </w:rPr>
      </w:pPr>
      <w:r w:rsidRPr="00CF4B55">
        <w:rPr>
          <w:b w:val="0"/>
          <w:color w:val="auto"/>
        </w:rPr>
        <w:t xml:space="preserve">způsob zajištění úvěru: </w:t>
      </w:r>
      <w:r w:rsidR="009D7985" w:rsidRPr="00CF4B55">
        <w:rPr>
          <w:b w:val="0"/>
          <w:color w:val="auto"/>
        </w:rPr>
        <w:t>zajištění ratingem města Ostravy,</w:t>
      </w:r>
    </w:p>
    <w:p w:rsidR="009D7985" w:rsidRPr="00CF4B55" w:rsidRDefault="009D7985" w:rsidP="00791CA6">
      <w:pPr>
        <w:pStyle w:val="Odstavecseseznamem"/>
        <w:numPr>
          <w:ilvl w:val="0"/>
          <w:numId w:val="2"/>
        </w:numPr>
        <w:ind w:right="0"/>
        <w:rPr>
          <w:b w:val="0"/>
          <w:color w:val="auto"/>
        </w:rPr>
      </w:pPr>
      <w:r w:rsidRPr="00CF4B55">
        <w:rPr>
          <w:b w:val="0"/>
          <w:color w:val="auto"/>
        </w:rPr>
        <w:t>uchazeč uvede stanovení počtu dní pro účely úročení – (kalendářní rok v délce 360 nebo 365 dní)</w:t>
      </w:r>
      <w:bookmarkStart w:id="0" w:name="_GoBack"/>
      <w:bookmarkEnd w:id="0"/>
    </w:p>
    <w:p w:rsidR="009738C2" w:rsidRPr="00CF4B55" w:rsidRDefault="000F62BF" w:rsidP="00791CA6">
      <w:pPr>
        <w:ind w:right="0"/>
        <w:rPr>
          <w:b w:val="0"/>
          <w:color w:val="auto"/>
        </w:rPr>
      </w:pPr>
      <w:r w:rsidRPr="00CF4B55">
        <w:rPr>
          <w:b w:val="0"/>
          <w:color w:val="auto"/>
        </w:rPr>
        <w:lastRenderedPageBreak/>
        <w:t xml:space="preserve">Uchazeč si nebude klást další podmínky a nebude vyžadovat další plnění, jež by mohlo souviset s plněním předmětu této veřejné zakázky jako např. převedení platebního styku na jinou banku a obdobně.                </w:t>
      </w:r>
    </w:p>
    <w:p w:rsidR="000F62BF" w:rsidRPr="00CF4B55" w:rsidRDefault="000F62BF" w:rsidP="00791CA6">
      <w:pPr>
        <w:ind w:right="0"/>
        <w:rPr>
          <w:b w:val="0"/>
          <w:color w:val="auto"/>
        </w:rPr>
      </w:pPr>
    </w:p>
    <w:p w:rsidR="00791CA6" w:rsidRPr="00CF4B55" w:rsidRDefault="00791CA6">
      <w:pPr>
        <w:ind w:right="0"/>
        <w:rPr>
          <w:b w:val="0"/>
          <w:color w:val="auto"/>
        </w:rPr>
      </w:pPr>
    </w:p>
    <w:sectPr w:rsidR="00791CA6" w:rsidRPr="00CF4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33C50"/>
    <w:multiLevelType w:val="hybridMultilevel"/>
    <w:tmpl w:val="329E2F34"/>
    <w:lvl w:ilvl="0" w:tplc="AFACFCE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10432"/>
    <w:multiLevelType w:val="hybridMultilevel"/>
    <w:tmpl w:val="384C03C0"/>
    <w:lvl w:ilvl="0" w:tplc="1D1ACC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A267E"/>
    <w:multiLevelType w:val="hybridMultilevel"/>
    <w:tmpl w:val="C1FA0D9C"/>
    <w:lvl w:ilvl="0" w:tplc="6E8A0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20206"/>
    <w:multiLevelType w:val="hybridMultilevel"/>
    <w:tmpl w:val="92F8CAEE"/>
    <w:lvl w:ilvl="0" w:tplc="396AF0BC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F708E"/>
    <w:multiLevelType w:val="hybridMultilevel"/>
    <w:tmpl w:val="8E8E58BE"/>
    <w:lvl w:ilvl="0" w:tplc="6E8A0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1ACCE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34A04"/>
    <w:multiLevelType w:val="hybridMultilevel"/>
    <w:tmpl w:val="8F52E6C2"/>
    <w:lvl w:ilvl="0" w:tplc="2022287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917CA"/>
    <w:multiLevelType w:val="hybridMultilevel"/>
    <w:tmpl w:val="8F52E6C2"/>
    <w:lvl w:ilvl="0" w:tplc="20222874">
      <w:start w:val="1"/>
      <w:numFmt w:val="lowerLetter"/>
      <w:lvlText w:val="%1)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BF"/>
    <w:rsid w:val="00077422"/>
    <w:rsid w:val="000C7C7A"/>
    <w:rsid w:val="000F62BF"/>
    <w:rsid w:val="002D345C"/>
    <w:rsid w:val="003D6A31"/>
    <w:rsid w:val="005F6E7A"/>
    <w:rsid w:val="006C003D"/>
    <w:rsid w:val="00701251"/>
    <w:rsid w:val="00791CA6"/>
    <w:rsid w:val="008B0FF1"/>
    <w:rsid w:val="008E1D76"/>
    <w:rsid w:val="009738C2"/>
    <w:rsid w:val="00996B0B"/>
    <w:rsid w:val="009D7985"/>
    <w:rsid w:val="00A11596"/>
    <w:rsid w:val="00A64DA8"/>
    <w:rsid w:val="00AD708A"/>
    <w:rsid w:val="00BD1278"/>
    <w:rsid w:val="00C927E5"/>
    <w:rsid w:val="00CA1C9D"/>
    <w:rsid w:val="00CF4B55"/>
    <w:rsid w:val="00D524C1"/>
    <w:rsid w:val="00EB2ACE"/>
    <w:rsid w:val="00F3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F62BF"/>
    <w:pPr>
      <w:spacing w:before="40" w:after="0" w:line="288" w:lineRule="auto"/>
      <w:ind w:right="382"/>
      <w:jc w:val="both"/>
    </w:pPr>
    <w:rPr>
      <w:rFonts w:ascii="Arial" w:hAnsi="Arial" w:cs="Arial"/>
      <w:b/>
      <w:snapToGrid w:val="0"/>
      <w:color w:val="000000"/>
      <w:sz w:val="20"/>
      <w:szCs w:val="28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115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708A"/>
    <w:pPr>
      <w:keepNext/>
      <w:outlineLvl w:val="1"/>
    </w:pPr>
  </w:style>
  <w:style w:type="paragraph" w:styleId="Nadpis3">
    <w:name w:val="heading 3"/>
    <w:basedOn w:val="Normln"/>
    <w:next w:val="Normln"/>
    <w:link w:val="Nadpis3Char"/>
    <w:qFormat/>
    <w:rsid w:val="00A11596"/>
    <w:pPr>
      <w:keepNext/>
      <w:spacing w:before="0" w:line="240" w:lineRule="auto"/>
      <w:ind w:right="0"/>
      <w:outlineLvl w:val="2"/>
    </w:pPr>
    <w:rPr>
      <w:rFonts w:ascii="Times New Roman" w:eastAsia="Times New Roman" w:hAnsi="Times New Roman" w:cs="Times New Roman"/>
      <w:b w:val="0"/>
      <w:snapToGrid/>
      <w:color w:val="auto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1596"/>
    <w:rPr>
      <w:rFonts w:asciiTheme="majorHAnsi" w:eastAsiaTheme="majorEastAsia" w:hAnsiTheme="majorHAnsi" w:cstheme="majorBidi"/>
      <w:bCs/>
      <w:snapToGrid w:val="0"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A1159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0F62BF"/>
    <w:rPr>
      <w:b w:val="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F62BF"/>
    <w:rPr>
      <w:rFonts w:ascii="Arial" w:hAnsi="Arial" w:cs="Arial"/>
      <w:snapToGrid w:val="0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F62B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6A3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6A31"/>
    <w:rPr>
      <w:rFonts w:ascii="Tahoma" w:hAnsi="Tahoma" w:cs="Tahoma"/>
      <w:b/>
      <w:snapToGrid w:val="0"/>
      <w:color w:val="000000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D708A"/>
    <w:rPr>
      <w:rFonts w:ascii="Arial" w:hAnsi="Arial" w:cs="Arial"/>
      <w:b/>
      <w:snapToGrid w:val="0"/>
      <w:color w:val="000000"/>
      <w:sz w:val="20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F62BF"/>
    <w:pPr>
      <w:spacing w:before="40" w:after="0" w:line="288" w:lineRule="auto"/>
      <w:ind w:right="382"/>
      <w:jc w:val="both"/>
    </w:pPr>
    <w:rPr>
      <w:rFonts w:ascii="Arial" w:hAnsi="Arial" w:cs="Arial"/>
      <w:b/>
      <w:snapToGrid w:val="0"/>
      <w:color w:val="000000"/>
      <w:sz w:val="20"/>
      <w:szCs w:val="28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115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708A"/>
    <w:pPr>
      <w:keepNext/>
      <w:outlineLvl w:val="1"/>
    </w:pPr>
  </w:style>
  <w:style w:type="paragraph" w:styleId="Nadpis3">
    <w:name w:val="heading 3"/>
    <w:basedOn w:val="Normln"/>
    <w:next w:val="Normln"/>
    <w:link w:val="Nadpis3Char"/>
    <w:qFormat/>
    <w:rsid w:val="00A11596"/>
    <w:pPr>
      <w:keepNext/>
      <w:spacing w:before="0" w:line="240" w:lineRule="auto"/>
      <w:ind w:right="0"/>
      <w:outlineLvl w:val="2"/>
    </w:pPr>
    <w:rPr>
      <w:rFonts w:ascii="Times New Roman" w:eastAsia="Times New Roman" w:hAnsi="Times New Roman" w:cs="Times New Roman"/>
      <w:b w:val="0"/>
      <w:snapToGrid/>
      <w:color w:val="auto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1596"/>
    <w:rPr>
      <w:rFonts w:asciiTheme="majorHAnsi" w:eastAsiaTheme="majorEastAsia" w:hAnsiTheme="majorHAnsi" w:cstheme="majorBidi"/>
      <w:bCs/>
      <w:snapToGrid w:val="0"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A1159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0F62BF"/>
    <w:rPr>
      <w:b w:val="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F62BF"/>
    <w:rPr>
      <w:rFonts w:ascii="Arial" w:hAnsi="Arial" w:cs="Arial"/>
      <w:snapToGrid w:val="0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F62B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6A3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6A31"/>
    <w:rPr>
      <w:rFonts w:ascii="Tahoma" w:hAnsi="Tahoma" w:cs="Tahoma"/>
      <w:b/>
      <w:snapToGrid w:val="0"/>
      <w:color w:val="000000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D708A"/>
    <w:rPr>
      <w:rFonts w:ascii="Arial" w:hAnsi="Arial" w:cs="Arial"/>
      <w:b/>
      <w:snapToGrid w:val="0"/>
      <w:color w:val="000000"/>
      <w:sz w:val="20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Wroblowská Simona</dc:creator>
  <cp:lastModifiedBy>Wroblowská Simona</cp:lastModifiedBy>
  <cp:revision>3</cp:revision>
  <cp:lastPrinted>2015-08-24T10:51:00Z</cp:lastPrinted>
  <dcterms:created xsi:type="dcterms:W3CDTF">2015-08-25T05:57:00Z</dcterms:created>
  <dcterms:modified xsi:type="dcterms:W3CDTF">2015-08-25T11:16:00Z</dcterms:modified>
</cp:coreProperties>
</file>