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5E0E8" w14:textId="77777777" w:rsidR="0059194D" w:rsidRPr="005D42B3" w:rsidRDefault="0059194D" w:rsidP="0059194D">
      <w:pPr>
        <w:jc w:val="center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 xml:space="preserve">Příloha č. </w:t>
      </w:r>
      <w:r w:rsidR="00DE08F1">
        <w:rPr>
          <w:rFonts w:ascii="Arial" w:hAnsi="Arial" w:cs="Arial"/>
          <w:b/>
          <w:sz w:val="16"/>
          <w:szCs w:val="16"/>
        </w:rPr>
        <w:t>11</w:t>
      </w:r>
      <w:r w:rsidRPr="005D42B3">
        <w:rPr>
          <w:rFonts w:ascii="Arial" w:hAnsi="Arial" w:cs="Arial"/>
          <w:b/>
          <w:sz w:val="16"/>
          <w:szCs w:val="16"/>
        </w:rPr>
        <w:t xml:space="preserve"> – Vzorový návrh smlouvy pro sdružené služby dodávky zemního plynu – </w:t>
      </w:r>
      <w:proofErr w:type="spellStart"/>
      <w:r w:rsidRPr="005D42B3">
        <w:rPr>
          <w:rFonts w:ascii="Arial" w:hAnsi="Arial" w:cs="Arial"/>
          <w:b/>
          <w:sz w:val="16"/>
          <w:szCs w:val="16"/>
        </w:rPr>
        <w:t>maloodběr</w:t>
      </w:r>
      <w:r w:rsidR="00DE08F1">
        <w:rPr>
          <w:rFonts w:ascii="Arial" w:hAnsi="Arial" w:cs="Arial"/>
          <w:b/>
          <w:sz w:val="16"/>
          <w:szCs w:val="16"/>
        </w:rPr>
        <w:t>_DPO</w:t>
      </w:r>
      <w:proofErr w:type="spellEnd"/>
    </w:p>
    <w:p w14:paraId="7B621558" w14:textId="77777777" w:rsidR="0059194D" w:rsidRPr="005D42B3" w:rsidRDefault="0059194D" w:rsidP="0059194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SMLOUVA O SDRUŽENÝCH SLUŽBÁCH DODÁVKY ZEMNÍHO PLYNU (dále jen „Smlouva“)</w:t>
      </w:r>
    </w:p>
    <w:p w14:paraId="7CD9D4EA" w14:textId="77777777" w:rsidR="005913E3" w:rsidRPr="005D42B3" w:rsidRDefault="00DE3C1D" w:rsidP="005913E3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C62D67">
        <w:rPr>
          <w:rFonts w:ascii="Arial" w:hAnsi="Arial"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13E3" w:rsidRPr="00C62D67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C62D67">
        <w:rPr>
          <w:rFonts w:ascii="Arial" w:hAnsi="Arial" w:cs="Arial"/>
          <w:b/>
          <w:sz w:val="16"/>
          <w:szCs w:val="16"/>
        </w:rPr>
      </w:r>
      <w:r w:rsidRPr="00C62D67">
        <w:rPr>
          <w:rFonts w:ascii="Arial" w:hAnsi="Arial" w:cs="Arial"/>
          <w:b/>
          <w:sz w:val="16"/>
          <w:szCs w:val="16"/>
        </w:rPr>
        <w:fldChar w:fldCharType="separate"/>
      </w:r>
      <w:r w:rsidR="005913E3" w:rsidRPr="00C62D67">
        <w:rPr>
          <w:rFonts w:ascii="Arial" w:hAnsi="Arial" w:cs="Arial"/>
          <w:b/>
          <w:noProof/>
          <w:sz w:val="16"/>
          <w:szCs w:val="16"/>
        </w:rPr>
        <w:t>(název dodavatele)</w:t>
      </w:r>
      <w:r w:rsidRPr="00C62D67">
        <w:rPr>
          <w:rFonts w:ascii="Arial" w:hAnsi="Arial" w:cs="Arial"/>
          <w:b/>
          <w:sz w:val="16"/>
          <w:szCs w:val="16"/>
        </w:rPr>
        <w:fldChar w:fldCharType="end"/>
      </w:r>
      <w:bookmarkEnd w:id="0"/>
      <w:r w:rsidR="005913E3" w:rsidRPr="005D42B3">
        <w:rPr>
          <w:rFonts w:ascii="Arial" w:hAnsi="Arial" w:cs="Arial"/>
          <w:sz w:val="16"/>
          <w:szCs w:val="16"/>
        </w:rPr>
        <w:t xml:space="preserve">, se sídlem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913E3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5913E3">
        <w:rPr>
          <w:rFonts w:ascii="Arial" w:hAnsi="Arial" w:cs="Arial"/>
          <w:noProof/>
          <w:sz w:val="16"/>
          <w:szCs w:val="16"/>
        </w:rPr>
        <w:t> </w:t>
      </w:r>
      <w:r w:rsidR="005913E3">
        <w:rPr>
          <w:rFonts w:ascii="Arial" w:hAnsi="Arial" w:cs="Arial"/>
          <w:noProof/>
          <w:sz w:val="16"/>
          <w:szCs w:val="16"/>
        </w:rPr>
        <w:t> </w:t>
      </w:r>
      <w:r w:rsidR="005913E3">
        <w:rPr>
          <w:rFonts w:ascii="Arial" w:hAnsi="Arial" w:cs="Arial"/>
          <w:noProof/>
          <w:sz w:val="16"/>
          <w:szCs w:val="16"/>
        </w:rPr>
        <w:t> </w:t>
      </w:r>
      <w:r w:rsidR="005913E3">
        <w:rPr>
          <w:rFonts w:ascii="Arial" w:hAnsi="Arial" w:cs="Arial"/>
          <w:noProof/>
          <w:sz w:val="16"/>
          <w:szCs w:val="16"/>
        </w:rPr>
        <w:t> </w:t>
      </w:r>
      <w:r w:rsidR="005913E3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 w:rsidR="005913E3" w:rsidRPr="005D42B3">
        <w:rPr>
          <w:rFonts w:ascii="Arial" w:hAnsi="Arial" w:cs="Arial"/>
          <w:sz w:val="16"/>
          <w:szCs w:val="16"/>
        </w:rPr>
        <w:t xml:space="preserve">, </w:t>
      </w:r>
    </w:p>
    <w:p w14:paraId="4BCA1044" w14:textId="77777777" w:rsidR="005913E3" w:rsidRPr="005D42B3" w:rsidRDefault="005913E3" w:rsidP="005913E3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r w:rsidR="00DE3C1D">
        <w:rPr>
          <w:rFonts w:ascii="Arial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16"/>
          <w:szCs w:val="16"/>
        </w:rPr>
        <w:instrText xml:space="preserve"> FORMTEXT </w:instrText>
      </w:r>
      <w:r w:rsidR="00DE3C1D">
        <w:rPr>
          <w:rFonts w:ascii="Arial" w:hAnsi="Arial" w:cs="Arial"/>
          <w:sz w:val="16"/>
          <w:szCs w:val="16"/>
        </w:rPr>
      </w:r>
      <w:r w:rsidR="00DE3C1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DE3C1D">
        <w:rPr>
          <w:rFonts w:ascii="Arial" w:hAnsi="Arial" w:cs="Arial"/>
          <w:sz w:val="16"/>
          <w:szCs w:val="16"/>
        </w:rPr>
        <w:fldChar w:fldCharType="end"/>
      </w:r>
      <w:bookmarkEnd w:id="2"/>
      <w:r w:rsidRPr="005D42B3">
        <w:rPr>
          <w:rFonts w:ascii="Arial" w:hAnsi="Arial" w:cs="Arial"/>
          <w:sz w:val="16"/>
          <w:szCs w:val="16"/>
        </w:rPr>
        <w:t xml:space="preserve">, odd. </w:t>
      </w:r>
      <w:r w:rsidR="00DE3C1D"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16"/>
          <w:szCs w:val="16"/>
        </w:rPr>
        <w:instrText xml:space="preserve"> FORMTEXT </w:instrText>
      </w:r>
      <w:r w:rsidR="00DE3C1D">
        <w:rPr>
          <w:rFonts w:ascii="Arial" w:hAnsi="Arial" w:cs="Arial"/>
          <w:sz w:val="16"/>
          <w:szCs w:val="16"/>
        </w:rPr>
      </w:r>
      <w:r w:rsidR="00DE3C1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DE3C1D">
        <w:rPr>
          <w:rFonts w:ascii="Arial" w:hAnsi="Arial" w:cs="Arial"/>
          <w:sz w:val="16"/>
          <w:szCs w:val="16"/>
        </w:rPr>
        <w:fldChar w:fldCharType="end"/>
      </w:r>
      <w:bookmarkEnd w:id="3"/>
      <w:r w:rsidRPr="005D42B3">
        <w:rPr>
          <w:rFonts w:ascii="Arial" w:hAnsi="Arial" w:cs="Arial"/>
          <w:sz w:val="16"/>
          <w:szCs w:val="16"/>
        </w:rPr>
        <w:t xml:space="preserve">, č. vložky </w:t>
      </w:r>
      <w:r w:rsidR="00DE3C1D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16"/>
          <w:szCs w:val="16"/>
        </w:rPr>
        <w:instrText xml:space="preserve"> FORMTEXT </w:instrText>
      </w:r>
      <w:r w:rsidR="00DE3C1D">
        <w:rPr>
          <w:rFonts w:ascii="Arial" w:hAnsi="Arial" w:cs="Arial"/>
          <w:sz w:val="16"/>
          <w:szCs w:val="16"/>
        </w:rPr>
      </w:r>
      <w:r w:rsidR="00DE3C1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DE3C1D">
        <w:rPr>
          <w:rFonts w:ascii="Arial" w:hAnsi="Arial" w:cs="Arial"/>
          <w:sz w:val="16"/>
          <w:szCs w:val="16"/>
        </w:rPr>
        <w:fldChar w:fldCharType="end"/>
      </w:r>
      <w:bookmarkEnd w:id="4"/>
      <w:r>
        <w:rPr>
          <w:rFonts w:ascii="Arial" w:hAnsi="Arial" w:cs="Arial"/>
          <w:sz w:val="16"/>
          <w:szCs w:val="16"/>
        </w:rPr>
        <w:t>,</w:t>
      </w:r>
      <w:r w:rsidRPr="005D42B3">
        <w:rPr>
          <w:rFonts w:ascii="Arial" w:hAnsi="Arial" w:cs="Arial"/>
          <w:sz w:val="16"/>
          <w:szCs w:val="16"/>
        </w:rPr>
        <w:t xml:space="preserve"> IČ: </w:t>
      </w:r>
      <w:r w:rsidR="00DE3C1D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16"/>
          <w:szCs w:val="16"/>
        </w:rPr>
        <w:instrText xml:space="preserve"> FORMTEXT </w:instrText>
      </w:r>
      <w:r w:rsidR="00DE3C1D">
        <w:rPr>
          <w:rFonts w:ascii="Arial" w:hAnsi="Arial" w:cs="Arial"/>
          <w:sz w:val="16"/>
          <w:szCs w:val="16"/>
        </w:rPr>
      </w:r>
      <w:r w:rsidR="00DE3C1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DE3C1D">
        <w:rPr>
          <w:rFonts w:ascii="Arial" w:hAnsi="Arial" w:cs="Arial"/>
          <w:sz w:val="16"/>
          <w:szCs w:val="16"/>
        </w:rPr>
        <w:fldChar w:fldCharType="end"/>
      </w:r>
      <w:bookmarkEnd w:id="5"/>
      <w:r w:rsidRPr="005D42B3">
        <w:rPr>
          <w:rFonts w:ascii="Arial" w:hAnsi="Arial" w:cs="Arial"/>
          <w:sz w:val="16"/>
          <w:szCs w:val="16"/>
        </w:rPr>
        <w:t xml:space="preserve">, DIČ: </w:t>
      </w:r>
      <w:r w:rsidR="00DE3C1D">
        <w:rPr>
          <w:rFonts w:ascii="Arial" w:hAnsi="Arial"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16"/>
          <w:szCs w:val="16"/>
        </w:rPr>
        <w:instrText xml:space="preserve"> FORMTEXT </w:instrText>
      </w:r>
      <w:r w:rsidR="00DE3C1D">
        <w:rPr>
          <w:rFonts w:ascii="Arial" w:hAnsi="Arial" w:cs="Arial"/>
          <w:sz w:val="16"/>
          <w:szCs w:val="16"/>
        </w:rPr>
      </w:r>
      <w:r w:rsidR="00DE3C1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DE3C1D">
        <w:rPr>
          <w:rFonts w:ascii="Arial" w:hAnsi="Arial" w:cs="Arial"/>
          <w:sz w:val="16"/>
          <w:szCs w:val="16"/>
        </w:rPr>
        <w:fldChar w:fldCharType="end"/>
      </w:r>
      <w:bookmarkEnd w:id="6"/>
      <w:r w:rsidRPr="005D42B3">
        <w:rPr>
          <w:rFonts w:ascii="Arial" w:hAnsi="Arial" w:cs="Arial"/>
          <w:sz w:val="16"/>
          <w:szCs w:val="16"/>
        </w:rPr>
        <w:t xml:space="preserve">, </w:t>
      </w:r>
    </w:p>
    <w:p w14:paraId="21DED2E7" w14:textId="77777777" w:rsidR="0059194D" w:rsidRPr="005D42B3" w:rsidRDefault="005913E3" w:rsidP="005913E3">
      <w:pPr>
        <w:spacing w:after="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kterou zastupuje: </w:t>
      </w:r>
      <w:r w:rsidR="00DE3C1D">
        <w:rPr>
          <w:rFonts w:ascii="Arial" w:hAnsi="Arial"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16"/>
          <w:szCs w:val="16"/>
        </w:rPr>
        <w:instrText xml:space="preserve"> FORMTEXT </w:instrText>
      </w:r>
      <w:r w:rsidR="00DE3C1D">
        <w:rPr>
          <w:rFonts w:ascii="Arial" w:hAnsi="Arial" w:cs="Arial"/>
          <w:sz w:val="16"/>
          <w:szCs w:val="16"/>
        </w:rPr>
      </w:r>
      <w:r w:rsidR="00DE3C1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DE3C1D">
        <w:rPr>
          <w:rFonts w:ascii="Arial" w:hAnsi="Arial" w:cs="Arial"/>
          <w:sz w:val="16"/>
          <w:szCs w:val="16"/>
        </w:rPr>
        <w:fldChar w:fldCharType="end"/>
      </w:r>
      <w:bookmarkEnd w:id="7"/>
      <w:r w:rsidRPr="005D42B3">
        <w:rPr>
          <w:rFonts w:ascii="Arial" w:hAnsi="Arial" w:cs="Arial"/>
          <w:sz w:val="16"/>
          <w:szCs w:val="16"/>
        </w:rPr>
        <w:t xml:space="preserve"> (na základě plné moci). </w:t>
      </w:r>
      <w:r w:rsidRPr="005D42B3">
        <w:rPr>
          <w:rFonts w:ascii="Arial" w:hAnsi="Arial" w:cs="Arial"/>
          <w:sz w:val="16"/>
          <w:szCs w:val="16"/>
        </w:rPr>
        <w:br/>
        <w:t xml:space="preserve">Bankovní spojení: </w:t>
      </w:r>
      <w:r w:rsidR="00DE3C1D">
        <w:rPr>
          <w:rFonts w:ascii="Arial" w:hAnsi="Arial"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16"/>
          <w:szCs w:val="16"/>
        </w:rPr>
        <w:instrText xml:space="preserve"> FORMTEXT </w:instrText>
      </w:r>
      <w:r w:rsidR="00DE3C1D">
        <w:rPr>
          <w:rFonts w:ascii="Arial" w:hAnsi="Arial" w:cs="Arial"/>
          <w:sz w:val="16"/>
          <w:szCs w:val="16"/>
        </w:rPr>
      </w:r>
      <w:r w:rsidR="00DE3C1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DE3C1D">
        <w:rPr>
          <w:rFonts w:ascii="Arial" w:hAnsi="Arial" w:cs="Arial"/>
          <w:sz w:val="16"/>
          <w:szCs w:val="16"/>
        </w:rPr>
        <w:fldChar w:fldCharType="end"/>
      </w:r>
      <w:bookmarkEnd w:id="8"/>
      <w:r w:rsidRPr="005D42B3">
        <w:rPr>
          <w:rFonts w:ascii="Arial" w:hAnsi="Arial" w:cs="Arial"/>
          <w:sz w:val="16"/>
          <w:szCs w:val="16"/>
        </w:rPr>
        <w:t xml:space="preserve">, pobočka </w:t>
      </w:r>
      <w:r w:rsidR="00DE3C1D">
        <w:rPr>
          <w:rFonts w:ascii="Arial" w:hAnsi="Arial"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16"/>
          <w:szCs w:val="16"/>
        </w:rPr>
        <w:instrText xml:space="preserve"> FORMTEXT </w:instrText>
      </w:r>
      <w:r w:rsidR="00DE3C1D">
        <w:rPr>
          <w:rFonts w:ascii="Arial" w:hAnsi="Arial" w:cs="Arial"/>
          <w:sz w:val="16"/>
          <w:szCs w:val="16"/>
        </w:rPr>
      </w:r>
      <w:r w:rsidR="00DE3C1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DE3C1D">
        <w:rPr>
          <w:rFonts w:ascii="Arial" w:hAnsi="Arial" w:cs="Arial"/>
          <w:sz w:val="16"/>
          <w:szCs w:val="16"/>
        </w:rPr>
        <w:fldChar w:fldCharType="end"/>
      </w:r>
      <w:bookmarkEnd w:id="9"/>
      <w:r w:rsidRPr="005D42B3">
        <w:rPr>
          <w:rFonts w:ascii="Arial" w:hAnsi="Arial" w:cs="Arial"/>
          <w:sz w:val="16"/>
          <w:szCs w:val="16"/>
        </w:rPr>
        <w:t xml:space="preserve">, č. účtu (CZK) </w:t>
      </w:r>
      <w:r w:rsidR="00DE3C1D">
        <w:rPr>
          <w:rFonts w:ascii="Arial" w:hAnsi="Arial" w:cs="Arial"/>
          <w:bCs/>
          <w:sz w:val="16"/>
          <w:szCs w:val="16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bCs/>
          <w:sz w:val="16"/>
          <w:szCs w:val="16"/>
          <w:lang w:val="pl-PL"/>
        </w:rPr>
        <w:instrText xml:space="preserve"> FORMTEXT </w:instrText>
      </w:r>
      <w:r w:rsidR="00DE3C1D">
        <w:rPr>
          <w:rFonts w:ascii="Arial" w:hAnsi="Arial" w:cs="Arial"/>
          <w:bCs/>
          <w:sz w:val="16"/>
          <w:szCs w:val="16"/>
          <w:lang w:val="pl-PL"/>
        </w:rPr>
      </w:r>
      <w:r w:rsidR="00DE3C1D">
        <w:rPr>
          <w:rFonts w:ascii="Arial" w:hAnsi="Arial" w:cs="Arial"/>
          <w:bCs/>
          <w:sz w:val="16"/>
          <w:szCs w:val="16"/>
          <w:lang w:val="pl-PL"/>
        </w:rPr>
        <w:fldChar w:fldCharType="separate"/>
      </w:r>
      <w:r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>
        <w:rPr>
          <w:rFonts w:ascii="Arial" w:hAnsi="Arial" w:cs="Arial"/>
          <w:bCs/>
          <w:noProof/>
          <w:sz w:val="16"/>
          <w:szCs w:val="16"/>
          <w:lang w:val="pl-PL"/>
        </w:rPr>
        <w:t> </w:t>
      </w:r>
      <w:r w:rsidR="00DE3C1D">
        <w:rPr>
          <w:rFonts w:ascii="Arial" w:hAnsi="Arial" w:cs="Arial"/>
          <w:bCs/>
          <w:sz w:val="16"/>
          <w:szCs w:val="16"/>
          <w:lang w:val="pl-PL"/>
        </w:rPr>
        <w:fldChar w:fldCharType="end"/>
      </w:r>
      <w:bookmarkEnd w:id="10"/>
    </w:p>
    <w:p w14:paraId="7C4DA55B" w14:textId="77777777" w:rsidR="0059194D" w:rsidRPr="005D42B3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>(dále jen „dodavatel“)</w:t>
      </w:r>
    </w:p>
    <w:p w14:paraId="49CD922A" w14:textId="77777777"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a</w:t>
      </w:r>
    </w:p>
    <w:p w14:paraId="6E6D23B5" w14:textId="77777777" w:rsidR="0059194D" w:rsidRPr="005D42B3" w:rsidRDefault="00DE08F1" w:rsidP="00DE08F1">
      <w:pPr>
        <w:spacing w:after="0"/>
        <w:rPr>
          <w:rFonts w:ascii="Arial" w:hAnsi="Arial" w:cs="Arial"/>
          <w:sz w:val="16"/>
          <w:szCs w:val="16"/>
        </w:rPr>
      </w:pPr>
      <w:r w:rsidRPr="00DE08F1">
        <w:rPr>
          <w:rFonts w:ascii="Arial" w:hAnsi="Arial" w:cs="Arial"/>
          <w:b/>
          <w:sz w:val="16"/>
          <w:szCs w:val="16"/>
        </w:rPr>
        <w:t>Dopravní podnik Ostrava a.s.</w:t>
      </w:r>
      <w:r w:rsidR="0059194D" w:rsidRPr="00DE08F1">
        <w:rPr>
          <w:rFonts w:ascii="Arial" w:hAnsi="Arial" w:cs="Arial"/>
          <w:b/>
          <w:sz w:val="16"/>
          <w:szCs w:val="16"/>
        </w:rPr>
        <w:t>,</w:t>
      </w:r>
      <w:r w:rsidR="0059194D" w:rsidRPr="005D42B3">
        <w:rPr>
          <w:rFonts w:ascii="Arial" w:hAnsi="Arial" w:cs="Arial"/>
          <w:sz w:val="16"/>
          <w:szCs w:val="16"/>
        </w:rPr>
        <w:t xml:space="preserve"> se sídlem </w:t>
      </w:r>
      <w:r w:rsidR="009D6924">
        <w:rPr>
          <w:rFonts w:ascii="Arial" w:hAnsi="Arial" w:cs="Arial"/>
          <w:sz w:val="16"/>
          <w:szCs w:val="16"/>
        </w:rPr>
        <w:t xml:space="preserve">Poděbradova 494/2, </w:t>
      </w:r>
      <w:r>
        <w:rPr>
          <w:rFonts w:ascii="Arial" w:hAnsi="Arial" w:cs="Arial"/>
          <w:sz w:val="16"/>
          <w:szCs w:val="16"/>
        </w:rPr>
        <w:t>Moravská Ostrava, 70</w:t>
      </w:r>
      <w:r w:rsidR="009D6924">
        <w:rPr>
          <w:rFonts w:ascii="Arial" w:hAnsi="Arial" w:cs="Arial"/>
          <w:sz w:val="16"/>
          <w:szCs w:val="16"/>
        </w:rPr>
        <w:t>2 00 Ostrava</w:t>
      </w:r>
      <w:r w:rsidR="0059194D" w:rsidRPr="005D42B3">
        <w:rPr>
          <w:rFonts w:ascii="Arial" w:hAnsi="Arial" w:cs="Arial"/>
          <w:sz w:val="16"/>
          <w:szCs w:val="16"/>
        </w:rPr>
        <w:t xml:space="preserve">, </w:t>
      </w:r>
    </w:p>
    <w:p w14:paraId="6BFFB769" w14:textId="77777777" w:rsidR="0059194D" w:rsidRPr="005D42B3" w:rsidRDefault="0059194D" w:rsidP="00DE08F1">
      <w:pPr>
        <w:spacing w:after="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r w:rsidR="00DE08F1">
        <w:rPr>
          <w:rFonts w:ascii="Arial" w:hAnsi="Arial" w:cs="Arial"/>
          <w:sz w:val="16"/>
          <w:szCs w:val="16"/>
        </w:rPr>
        <w:t>Ostravě</w:t>
      </w:r>
      <w:r w:rsidRPr="005D42B3">
        <w:rPr>
          <w:rFonts w:ascii="Arial" w:hAnsi="Arial" w:cs="Arial"/>
          <w:sz w:val="16"/>
          <w:szCs w:val="16"/>
        </w:rPr>
        <w:t xml:space="preserve">, odd. </w:t>
      </w:r>
      <w:r w:rsidR="00DE08F1">
        <w:rPr>
          <w:rFonts w:ascii="Arial" w:hAnsi="Arial" w:cs="Arial"/>
          <w:sz w:val="16"/>
          <w:szCs w:val="16"/>
        </w:rPr>
        <w:t>B.</w:t>
      </w:r>
      <w:r w:rsidRPr="005D42B3">
        <w:rPr>
          <w:rFonts w:ascii="Arial" w:hAnsi="Arial" w:cs="Arial"/>
          <w:sz w:val="16"/>
          <w:szCs w:val="16"/>
        </w:rPr>
        <w:t xml:space="preserve">, č. vložky </w:t>
      </w:r>
      <w:r w:rsidR="00DE08F1">
        <w:rPr>
          <w:rFonts w:ascii="Arial" w:hAnsi="Arial" w:cs="Arial"/>
          <w:sz w:val="16"/>
          <w:szCs w:val="16"/>
        </w:rPr>
        <w:t>1104</w:t>
      </w:r>
      <w:r w:rsidRPr="005D42B3">
        <w:rPr>
          <w:rFonts w:ascii="Arial" w:hAnsi="Arial" w:cs="Arial"/>
          <w:sz w:val="16"/>
          <w:szCs w:val="16"/>
        </w:rPr>
        <w:t xml:space="preserve">, IČ: </w:t>
      </w:r>
      <w:r w:rsidR="00DE08F1">
        <w:rPr>
          <w:rFonts w:ascii="Arial" w:hAnsi="Arial" w:cs="Arial"/>
          <w:sz w:val="16"/>
          <w:szCs w:val="16"/>
        </w:rPr>
        <w:t>61974757</w:t>
      </w:r>
      <w:r w:rsidRPr="005D42B3">
        <w:rPr>
          <w:rFonts w:ascii="Arial" w:hAnsi="Arial" w:cs="Arial"/>
          <w:sz w:val="16"/>
          <w:szCs w:val="16"/>
        </w:rPr>
        <w:t xml:space="preserve">, DIČ: </w:t>
      </w:r>
      <w:r w:rsidR="00DE08F1">
        <w:rPr>
          <w:rFonts w:ascii="Arial" w:hAnsi="Arial" w:cs="Arial"/>
          <w:sz w:val="16"/>
          <w:szCs w:val="16"/>
        </w:rPr>
        <w:t>CZ61974757</w:t>
      </w:r>
      <w:r w:rsidRPr="005D42B3">
        <w:rPr>
          <w:rFonts w:ascii="Arial" w:hAnsi="Arial" w:cs="Arial"/>
          <w:sz w:val="16"/>
          <w:szCs w:val="16"/>
        </w:rPr>
        <w:t xml:space="preserve">, </w:t>
      </w:r>
    </w:p>
    <w:p w14:paraId="4C2C1D45" w14:textId="77777777" w:rsidR="0059194D" w:rsidRPr="005D42B3" w:rsidRDefault="0059194D" w:rsidP="00DE08F1">
      <w:pPr>
        <w:spacing w:after="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kterou zastupuje: </w:t>
      </w:r>
      <w:r w:rsidR="00DE3C1D">
        <w:rPr>
          <w:rFonts w:ascii="Arial" w:hAnsi="Arial" w:cs="Arial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2261F7">
        <w:rPr>
          <w:rFonts w:ascii="Arial" w:hAnsi="Arial" w:cs="Arial"/>
          <w:sz w:val="16"/>
          <w:szCs w:val="16"/>
        </w:rPr>
        <w:instrText xml:space="preserve"> FORMTEXT </w:instrText>
      </w:r>
      <w:r w:rsidR="00DE3C1D">
        <w:rPr>
          <w:rFonts w:ascii="Arial" w:hAnsi="Arial" w:cs="Arial"/>
          <w:sz w:val="16"/>
          <w:szCs w:val="16"/>
        </w:rPr>
      </w:r>
      <w:r w:rsidR="00DE3C1D">
        <w:rPr>
          <w:rFonts w:ascii="Arial" w:hAnsi="Arial" w:cs="Arial"/>
          <w:sz w:val="16"/>
          <w:szCs w:val="16"/>
        </w:rPr>
        <w:fldChar w:fldCharType="separate"/>
      </w:r>
      <w:bookmarkStart w:id="12" w:name="_GoBack"/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bookmarkEnd w:id="12"/>
      <w:r w:rsidR="00DE3C1D">
        <w:rPr>
          <w:rFonts w:ascii="Arial" w:hAnsi="Arial" w:cs="Arial"/>
          <w:sz w:val="16"/>
          <w:szCs w:val="16"/>
        </w:rPr>
        <w:fldChar w:fldCharType="end"/>
      </w:r>
      <w:bookmarkEnd w:id="11"/>
      <w:r w:rsidRPr="005D42B3">
        <w:rPr>
          <w:rFonts w:ascii="Arial" w:hAnsi="Arial" w:cs="Arial"/>
          <w:sz w:val="16"/>
          <w:szCs w:val="16"/>
        </w:rPr>
        <w:t xml:space="preserve"> (na základě plné moci).</w:t>
      </w:r>
      <w:r w:rsidRPr="005D42B3">
        <w:rPr>
          <w:rFonts w:ascii="Arial" w:hAnsi="Arial" w:cs="Arial"/>
          <w:sz w:val="16"/>
          <w:szCs w:val="16"/>
        </w:rPr>
        <w:br/>
        <w:t xml:space="preserve">Bankovní spojení: </w:t>
      </w:r>
      <w:r w:rsidR="00DE3C1D">
        <w:rPr>
          <w:rFonts w:ascii="Arial" w:hAnsi="Arial" w:cs="Arial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261F7">
        <w:rPr>
          <w:rFonts w:ascii="Arial" w:hAnsi="Arial" w:cs="Arial"/>
          <w:sz w:val="16"/>
          <w:szCs w:val="16"/>
        </w:rPr>
        <w:instrText xml:space="preserve"> FORMTEXT </w:instrText>
      </w:r>
      <w:r w:rsidR="00DE3C1D">
        <w:rPr>
          <w:rFonts w:ascii="Arial" w:hAnsi="Arial" w:cs="Arial"/>
          <w:sz w:val="16"/>
          <w:szCs w:val="16"/>
        </w:rPr>
      </w:r>
      <w:r w:rsidR="00DE3C1D">
        <w:rPr>
          <w:rFonts w:ascii="Arial" w:hAnsi="Arial" w:cs="Arial"/>
          <w:sz w:val="16"/>
          <w:szCs w:val="16"/>
        </w:rPr>
        <w:fldChar w:fldCharType="separate"/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DE3C1D">
        <w:rPr>
          <w:rFonts w:ascii="Arial" w:hAnsi="Arial" w:cs="Arial"/>
          <w:sz w:val="16"/>
          <w:szCs w:val="16"/>
        </w:rPr>
        <w:fldChar w:fldCharType="end"/>
      </w:r>
      <w:r w:rsidRPr="005D42B3">
        <w:rPr>
          <w:rFonts w:ascii="Arial" w:hAnsi="Arial" w:cs="Arial"/>
          <w:sz w:val="16"/>
          <w:szCs w:val="16"/>
        </w:rPr>
        <w:t xml:space="preserve">, pobočka </w:t>
      </w:r>
      <w:r w:rsidR="00DE3C1D">
        <w:rPr>
          <w:rFonts w:ascii="Arial" w:hAnsi="Arial" w:cs="Arial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261F7">
        <w:rPr>
          <w:rFonts w:ascii="Arial" w:hAnsi="Arial" w:cs="Arial"/>
          <w:sz w:val="16"/>
          <w:szCs w:val="16"/>
        </w:rPr>
        <w:instrText xml:space="preserve"> FORMTEXT </w:instrText>
      </w:r>
      <w:r w:rsidR="00DE3C1D">
        <w:rPr>
          <w:rFonts w:ascii="Arial" w:hAnsi="Arial" w:cs="Arial"/>
          <w:sz w:val="16"/>
          <w:szCs w:val="16"/>
        </w:rPr>
      </w:r>
      <w:r w:rsidR="00DE3C1D">
        <w:rPr>
          <w:rFonts w:ascii="Arial" w:hAnsi="Arial" w:cs="Arial"/>
          <w:sz w:val="16"/>
          <w:szCs w:val="16"/>
        </w:rPr>
        <w:fldChar w:fldCharType="separate"/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DE3C1D">
        <w:rPr>
          <w:rFonts w:ascii="Arial" w:hAnsi="Arial" w:cs="Arial"/>
          <w:sz w:val="16"/>
          <w:szCs w:val="16"/>
        </w:rPr>
        <w:fldChar w:fldCharType="end"/>
      </w:r>
      <w:r w:rsidRPr="005D42B3">
        <w:rPr>
          <w:rFonts w:ascii="Arial" w:hAnsi="Arial" w:cs="Arial"/>
          <w:sz w:val="16"/>
          <w:szCs w:val="16"/>
        </w:rPr>
        <w:t xml:space="preserve">, č. účtu (CZK) </w:t>
      </w:r>
      <w:r w:rsidR="00DE3C1D">
        <w:rPr>
          <w:rFonts w:ascii="Arial" w:hAnsi="Arial" w:cs="Arial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261F7">
        <w:rPr>
          <w:rFonts w:ascii="Arial" w:hAnsi="Arial" w:cs="Arial"/>
          <w:sz w:val="16"/>
          <w:szCs w:val="16"/>
        </w:rPr>
        <w:instrText xml:space="preserve"> FORMTEXT </w:instrText>
      </w:r>
      <w:r w:rsidR="00DE3C1D">
        <w:rPr>
          <w:rFonts w:ascii="Arial" w:hAnsi="Arial" w:cs="Arial"/>
          <w:sz w:val="16"/>
          <w:szCs w:val="16"/>
        </w:rPr>
      </w:r>
      <w:r w:rsidR="00DE3C1D">
        <w:rPr>
          <w:rFonts w:ascii="Arial" w:hAnsi="Arial" w:cs="Arial"/>
          <w:sz w:val="16"/>
          <w:szCs w:val="16"/>
        </w:rPr>
        <w:fldChar w:fldCharType="separate"/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2261F7">
        <w:rPr>
          <w:rFonts w:ascii="Arial" w:hAnsi="Arial" w:cs="Arial"/>
          <w:noProof/>
          <w:sz w:val="16"/>
          <w:szCs w:val="16"/>
        </w:rPr>
        <w:t> </w:t>
      </w:r>
      <w:r w:rsidR="00DE3C1D">
        <w:rPr>
          <w:rFonts w:ascii="Arial" w:hAnsi="Arial" w:cs="Arial"/>
          <w:sz w:val="16"/>
          <w:szCs w:val="16"/>
        </w:rPr>
        <w:fldChar w:fldCharType="end"/>
      </w:r>
    </w:p>
    <w:p w14:paraId="536BD015" w14:textId="77777777" w:rsidR="0059194D" w:rsidRPr="005D42B3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>(dále jen „odběratel“)</w:t>
      </w:r>
    </w:p>
    <w:p w14:paraId="6A1AA4AC" w14:textId="77777777"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uzavírají </w:t>
      </w:r>
      <w:r w:rsidRPr="00863D59">
        <w:rPr>
          <w:rFonts w:ascii="Arial" w:hAnsi="Arial" w:cs="Arial"/>
          <w:sz w:val="16"/>
          <w:szCs w:val="16"/>
        </w:rPr>
        <w:t xml:space="preserve">podle </w:t>
      </w:r>
      <w:r w:rsidR="00686D4C" w:rsidRPr="00863D59">
        <w:rPr>
          <w:rFonts w:ascii="Arial" w:hAnsi="Arial" w:cs="Arial"/>
          <w:sz w:val="16"/>
          <w:szCs w:val="16"/>
        </w:rPr>
        <w:t>zákona č. č. 89/2012 Sb., občanský zákoník</w:t>
      </w:r>
      <w:r w:rsidRPr="00863D59">
        <w:rPr>
          <w:rFonts w:ascii="Arial" w:hAnsi="Arial" w:cs="Arial"/>
          <w:sz w:val="16"/>
          <w:szCs w:val="16"/>
        </w:rPr>
        <w:t xml:space="preserve">, a zákona </w:t>
      </w:r>
      <w:r w:rsidRPr="005D42B3">
        <w:rPr>
          <w:rFonts w:ascii="Arial" w:hAnsi="Arial" w:cs="Arial"/>
          <w:sz w:val="16"/>
          <w:szCs w:val="16"/>
        </w:rPr>
        <w:t>č. 458/2000 Sb., energetický zákon (dále jen EZ), obou pak v účinném znění, tuto smlouvu:</w:t>
      </w:r>
    </w:p>
    <w:p w14:paraId="1B2C3BAB" w14:textId="77777777"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Předmět Smlouvy</w:t>
      </w:r>
    </w:p>
    <w:p w14:paraId="0AF9D927" w14:textId="7148CB5B"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Předmětem Smlouvy je závazek Dodavatele poskytnout </w:t>
      </w:r>
      <w:r w:rsidR="008E4840">
        <w:rPr>
          <w:rFonts w:ascii="Arial" w:hAnsi="Arial" w:cs="Arial"/>
          <w:sz w:val="16"/>
          <w:szCs w:val="16"/>
        </w:rPr>
        <w:t>Odběrateli</w:t>
      </w:r>
      <w:r w:rsidRPr="005D42B3">
        <w:rPr>
          <w:rFonts w:ascii="Arial" w:hAnsi="Arial" w:cs="Arial"/>
          <w:sz w:val="16"/>
          <w:szCs w:val="16"/>
        </w:rPr>
        <w:t xml:space="preserve"> sdružené služby dodávky plynu dle zákona 458/2000 Sb. v platném znění a závazek </w:t>
      </w:r>
      <w:r w:rsidR="008E4840">
        <w:rPr>
          <w:rFonts w:ascii="Arial" w:hAnsi="Arial" w:cs="Arial"/>
          <w:sz w:val="16"/>
          <w:szCs w:val="16"/>
        </w:rPr>
        <w:t xml:space="preserve">Odběratele </w:t>
      </w:r>
      <w:r w:rsidRPr="005D42B3">
        <w:rPr>
          <w:rFonts w:ascii="Arial" w:hAnsi="Arial" w:cs="Arial"/>
          <w:sz w:val="16"/>
          <w:szCs w:val="16"/>
        </w:rPr>
        <w:t xml:space="preserve">za tyto služby uhradit Dodavateli řádně a včas dohodnutou platbu. Podmínky dodávky plynu a další vzájemná práva a povinnosti smluvních stran upravují Všeobecné obchodní podmínky dodávky plynu Dodavatele číslo </w:t>
      </w:r>
      <w:r w:rsidR="00DE3C1D">
        <w:rPr>
          <w:rFonts w:ascii="Arial" w:hAnsi="Arial"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5913E3">
        <w:rPr>
          <w:rFonts w:ascii="Arial" w:hAnsi="Arial" w:cs="Arial"/>
          <w:sz w:val="16"/>
          <w:szCs w:val="16"/>
        </w:rPr>
        <w:instrText xml:space="preserve"> FORMTEXT </w:instrText>
      </w:r>
      <w:r w:rsidR="00DE3C1D">
        <w:rPr>
          <w:rFonts w:ascii="Arial" w:hAnsi="Arial" w:cs="Arial"/>
          <w:sz w:val="16"/>
          <w:szCs w:val="16"/>
        </w:rPr>
      </w:r>
      <w:r w:rsidR="00DE3C1D">
        <w:rPr>
          <w:rFonts w:ascii="Arial" w:hAnsi="Arial" w:cs="Arial"/>
          <w:sz w:val="16"/>
          <w:szCs w:val="16"/>
        </w:rPr>
        <w:fldChar w:fldCharType="separate"/>
      </w:r>
      <w:r w:rsidR="005913E3">
        <w:rPr>
          <w:rFonts w:ascii="Arial" w:hAnsi="Arial" w:cs="Arial"/>
          <w:noProof/>
          <w:sz w:val="16"/>
          <w:szCs w:val="16"/>
        </w:rPr>
        <w:t> </w:t>
      </w:r>
      <w:r w:rsidR="005913E3">
        <w:rPr>
          <w:rFonts w:ascii="Arial" w:hAnsi="Arial" w:cs="Arial"/>
          <w:noProof/>
          <w:sz w:val="16"/>
          <w:szCs w:val="16"/>
        </w:rPr>
        <w:t> </w:t>
      </w:r>
      <w:r w:rsidR="005913E3">
        <w:rPr>
          <w:rFonts w:ascii="Arial" w:hAnsi="Arial" w:cs="Arial"/>
          <w:noProof/>
          <w:sz w:val="16"/>
          <w:szCs w:val="16"/>
        </w:rPr>
        <w:t> </w:t>
      </w:r>
      <w:r w:rsidR="005913E3">
        <w:rPr>
          <w:rFonts w:ascii="Arial" w:hAnsi="Arial" w:cs="Arial"/>
          <w:noProof/>
          <w:sz w:val="16"/>
          <w:szCs w:val="16"/>
        </w:rPr>
        <w:t> </w:t>
      </w:r>
      <w:r w:rsidR="005913E3">
        <w:rPr>
          <w:rFonts w:ascii="Arial" w:hAnsi="Arial" w:cs="Arial"/>
          <w:noProof/>
          <w:sz w:val="16"/>
          <w:szCs w:val="16"/>
        </w:rPr>
        <w:t> </w:t>
      </w:r>
      <w:r w:rsidR="00DE3C1D">
        <w:rPr>
          <w:rFonts w:ascii="Arial" w:hAnsi="Arial" w:cs="Arial"/>
          <w:sz w:val="16"/>
          <w:szCs w:val="16"/>
        </w:rPr>
        <w:fldChar w:fldCharType="end"/>
      </w:r>
      <w:bookmarkEnd w:id="13"/>
      <w:r w:rsidRPr="005D42B3">
        <w:rPr>
          <w:rFonts w:ascii="Arial" w:hAnsi="Arial" w:cs="Arial"/>
          <w:sz w:val="16"/>
          <w:szCs w:val="16"/>
        </w:rPr>
        <w:t xml:space="preserve"> a Ceník zemního plynu, které jsou nedílnou součástí této Smlouvy.</w:t>
      </w:r>
      <w:r w:rsidR="00087E0A" w:rsidRPr="005D42B3">
        <w:rPr>
          <w:rFonts w:ascii="Arial" w:hAnsi="Arial" w:cs="Arial"/>
          <w:sz w:val="16"/>
          <w:szCs w:val="16"/>
        </w:rPr>
        <w:t xml:space="preserve"> Ustanovení</w:t>
      </w:r>
      <w:r w:rsidR="005329F0" w:rsidRPr="005D42B3">
        <w:rPr>
          <w:rFonts w:ascii="Arial" w:hAnsi="Arial" w:cs="Arial"/>
          <w:sz w:val="16"/>
          <w:szCs w:val="16"/>
        </w:rPr>
        <w:t xml:space="preserve"> této smlouvy mají přednost před ustanoveními obsaženými ve Všeobecných obchodních podmínkách či v jiném dokumentu dodavatele.</w:t>
      </w:r>
    </w:p>
    <w:p w14:paraId="2E0C7254" w14:textId="77777777"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Specifikace odběrného místa</w:t>
      </w:r>
    </w:p>
    <w:p w14:paraId="2E8ACD18" w14:textId="77777777"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Specifikace pro každé odběrné místo je v Příloze č. 1 této Smlouvy.</w:t>
      </w:r>
    </w:p>
    <w:p w14:paraId="1DEADDA0" w14:textId="77777777"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Ceník</w:t>
      </w:r>
    </w:p>
    <w:tbl>
      <w:tblPr>
        <w:tblW w:w="868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3"/>
        <w:gridCol w:w="2089"/>
      </w:tblGrid>
      <w:tr w:rsidR="005C28D0" w:rsidRPr="005D42B3" w14:paraId="693647AD" w14:textId="77777777" w:rsidTr="005913E3">
        <w:trPr>
          <w:trHeight w:val="421"/>
        </w:trPr>
        <w:tc>
          <w:tcPr>
            <w:tcW w:w="6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44F6AD" w14:textId="77777777"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B8237D" w14:textId="77777777"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cena (Kč/MWh)</w:t>
            </w:r>
          </w:p>
        </w:tc>
      </w:tr>
      <w:tr w:rsidR="005C28D0" w:rsidRPr="005D42B3" w14:paraId="5F5F9C7B" w14:textId="77777777" w:rsidTr="005913E3">
        <w:trPr>
          <w:trHeight w:val="253"/>
        </w:trPr>
        <w:tc>
          <w:tcPr>
            <w:tcW w:w="6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ACCF" w14:textId="77777777" w:rsidR="005C28D0" w:rsidRPr="005D42B3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BA6FCB" w14:textId="77777777" w:rsidR="005C28D0" w:rsidRPr="005D42B3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C28D0" w:rsidRPr="005D42B3" w14:paraId="5962B126" w14:textId="77777777" w:rsidTr="005913E3">
        <w:trPr>
          <w:trHeight w:val="199"/>
        </w:trPr>
        <w:tc>
          <w:tcPr>
            <w:tcW w:w="6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FD70" w14:textId="77777777"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Roční spotřeba zemního plynu z odběrných míst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pod 63MWh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9AF5" w14:textId="77777777" w:rsidR="005C28D0" w:rsidRPr="005D42B3" w:rsidRDefault="005913E3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="00DE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instrText xml:space="preserve"> FORMTEXT </w:instrText>
            </w:r>
            <w:r w:rsidR="00DE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r>
            <w:r w:rsidR="00DE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DE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fldChar w:fldCharType="end"/>
            </w:r>
            <w:bookmarkEnd w:id="14"/>
            <w:r w:rsidR="005C28D0"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14:paraId="67DA9104" w14:textId="77777777" w:rsidTr="005913E3">
        <w:trPr>
          <w:trHeight w:val="202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DA4B" w14:textId="77777777"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Stálý měsíční pla</w:t>
            </w: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 (počet OM*počet měsíců) pouze u OM pod 63MWh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40C5" w14:textId="77777777"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r w:rsidR="00DE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91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instrText xml:space="preserve"> FORMTEXT </w:instrText>
            </w:r>
            <w:r w:rsidR="00DE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r>
            <w:r w:rsidR="00DE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fldChar w:fldCharType="separate"/>
            </w:r>
            <w:r w:rsidR="00591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591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591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591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591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DE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5C28D0" w:rsidRPr="005D42B3" w14:paraId="737771B3" w14:textId="77777777" w:rsidTr="005913E3">
        <w:trPr>
          <w:trHeight w:val="198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4349" w14:textId="77777777"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Roční spotřeba zemního plynu z odběrných míst 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 63MWh do 630MWh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1287" w14:textId="77777777"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r w:rsidR="00DE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913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instrText xml:space="preserve"> FORMTEXT </w:instrText>
            </w:r>
            <w:r w:rsidR="00DE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r>
            <w:r w:rsidR="00DE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fldChar w:fldCharType="separate"/>
            </w:r>
            <w:r w:rsidR="00591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591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591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591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5913E3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cs-CZ"/>
              </w:rPr>
              <w:t> </w:t>
            </w:r>
            <w:r w:rsidR="00DE3C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fldChar w:fldCharType="end"/>
            </w:r>
          </w:p>
        </w:tc>
      </w:tr>
    </w:tbl>
    <w:p w14:paraId="4851C3C2" w14:textId="77777777" w:rsidR="005C28D0" w:rsidRPr="005D42B3" w:rsidRDefault="005C28D0" w:rsidP="0059194D">
      <w:pPr>
        <w:rPr>
          <w:rFonts w:ascii="Arial" w:hAnsi="Arial" w:cs="Arial"/>
          <w:sz w:val="16"/>
          <w:szCs w:val="16"/>
        </w:rPr>
      </w:pPr>
    </w:p>
    <w:p w14:paraId="03CFBA54" w14:textId="77777777"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Ceník je po dobu své účinnosti neměnný a po uplynutí jeho účinnosti se pro případné další dodávky aplikuje aktuální standardní Ceník Dodavatele zveřejněný na webových stránkách Dodavatele.</w:t>
      </w:r>
    </w:p>
    <w:p w14:paraId="532BDB9E" w14:textId="77777777"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Ceny jsou </w:t>
      </w:r>
      <w:r w:rsidR="00CA412D" w:rsidRPr="005D42B3">
        <w:rPr>
          <w:rFonts w:ascii="Arial" w:hAnsi="Arial" w:cs="Arial"/>
          <w:sz w:val="16"/>
          <w:szCs w:val="16"/>
        </w:rPr>
        <w:t>uvedeny bez DPH</w:t>
      </w:r>
      <w:r w:rsidRPr="005D42B3">
        <w:rPr>
          <w:rFonts w:ascii="Arial" w:hAnsi="Arial" w:cs="Arial"/>
          <w:sz w:val="16"/>
          <w:szCs w:val="16"/>
        </w:rPr>
        <w:t>.</w:t>
      </w:r>
    </w:p>
    <w:p w14:paraId="54951197" w14:textId="77777777"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Platební podmínky</w:t>
      </w:r>
    </w:p>
    <w:p w14:paraId="75D0BBD9" w14:textId="77777777" w:rsidR="005C28D0" w:rsidRPr="005D42B3" w:rsidRDefault="005C28D0" w:rsidP="005C28D0">
      <w:pPr>
        <w:pStyle w:val="Odstavecseseznamem"/>
        <w:rPr>
          <w:rFonts w:ascii="Arial" w:hAnsi="Arial" w:cs="Arial"/>
          <w:b/>
          <w:sz w:val="16"/>
          <w:szCs w:val="16"/>
        </w:rPr>
      </w:pPr>
    </w:p>
    <w:p w14:paraId="63C3668C" w14:textId="77777777" w:rsidR="005C28D0" w:rsidRPr="005D42B3" w:rsidRDefault="0059194D" w:rsidP="00F35F9A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provádění plateb a přeplatků:</w:t>
      </w:r>
      <w:r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ab/>
      </w:r>
    </w:p>
    <w:p w14:paraId="5A41E64B" w14:textId="77777777" w:rsidR="0059194D" w:rsidRPr="005D42B3" w:rsidRDefault="005C28D0" w:rsidP="00C3181E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ab/>
      </w:r>
      <w:r w:rsidR="0059194D" w:rsidRPr="005D42B3">
        <w:rPr>
          <w:rFonts w:ascii="Arial" w:hAnsi="Arial" w:cs="Arial"/>
          <w:sz w:val="16"/>
          <w:szCs w:val="16"/>
        </w:rPr>
        <w:t>Faktury:</w:t>
      </w:r>
      <w:r w:rsidR="0059194D"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="0059194D"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>nebo</w:t>
      </w:r>
      <w:r w:rsidR="0059194D" w:rsidRPr="005D42B3">
        <w:rPr>
          <w:rFonts w:ascii="Arial" w:hAnsi="Arial" w:cs="Arial"/>
          <w:sz w:val="16"/>
          <w:szCs w:val="16"/>
        </w:rPr>
        <w:tab/>
        <w:t>Bankovní inkaso</w:t>
      </w:r>
    </w:p>
    <w:p w14:paraId="2D2CB87E" w14:textId="77777777" w:rsidR="005C28D0" w:rsidRPr="005D42B3" w:rsidRDefault="005C28D0" w:rsidP="00C3181E">
      <w:pPr>
        <w:spacing w:after="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ab/>
      </w:r>
      <w:r w:rsidR="0059194D" w:rsidRPr="005D42B3">
        <w:rPr>
          <w:rFonts w:ascii="Arial" w:hAnsi="Arial" w:cs="Arial"/>
          <w:sz w:val="16"/>
          <w:szCs w:val="16"/>
        </w:rPr>
        <w:t>Zálohy:</w:t>
      </w:r>
      <w:r w:rsidR="0059194D"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="0059194D"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>nebo</w:t>
      </w:r>
      <w:r w:rsidR="0059194D" w:rsidRPr="005D42B3">
        <w:rPr>
          <w:rFonts w:ascii="Arial" w:hAnsi="Arial" w:cs="Arial"/>
          <w:sz w:val="16"/>
          <w:szCs w:val="16"/>
        </w:rPr>
        <w:tab/>
        <w:t>Bankovní inkaso</w:t>
      </w:r>
      <w:r w:rsidR="0059194D" w:rsidRPr="005D42B3">
        <w:rPr>
          <w:rFonts w:ascii="Arial" w:hAnsi="Arial" w:cs="Arial"/>
          <w:sz w:val="16"/>
          <w:szCs w:val="16"/>
        </w:rPr>
        <w:tab/>
      </w:r>
    </w:p>
    <w:p w14:paraId="27AE8D2C" w14:textId="77777777" w:rsidR="0059194D" w:rsidRPr="005D42B3" w:rsidRDefault="0059194D" w:rsidP="005C28D0">
      <w:pPr>
        <w:spacing w:after="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</w:p>
    <w:p w14:paraId="6E6A8AD4" w14:textId="77777777" w:rsidR="005C28D0" w:rsidRPr="005D42B3" w:rsidRDefault="0059194D" w:rsidP="00F35F9A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odesílání faktur a předpisů záloh:</w:t>
      </w:r>
      <w:r w:rsidRPr="005D42B3">
        <w:rPr>
          <w:rFonts w:ascii="Arial" w:hAnsi="Arial" w:cs="Arial"/>
          <w:sz w:val="16"/>
          <w:szCs w:val="16"/>
        </w:rPr>
        <w:tab/>
      </w:r>
    </w:p>
    <w:p w14:paraId="085CC98D" w14:textId="13C5308B" w:rsidR="005C28D0" w:rsidRPr="005D42B3" w:rsidRDefault="0059194D" w:rsidP="00C3181E">
      <w:pPr>
        <w:pStyle w:val="Odstavecseseznamem"/>
        <w:spacing w:after="0"/>
        <w:ind w:left="114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a)</w:t>
      </w:r>
      <w:r w:rsidRPr="005D42B3">
        <w:rPr>
          <w:rFonts w:ascii="Arial" w:hAnsi="Arial" w:cs="Arial"/>
          <w:sz w:val="16"/>
          <w:szCs w:val="16"/>
        </w:rPr>
        <w:t xml:space="preserve"> elektronicky na e-mail </w:t>
      </w:r>
      <w:r w:rsidR="008E4840">
        <w:rPr>
          <w:rFonts w:ascii="Arial" w:hAnsi="Arial" w:cs="Arial"/>
          <w:sz w:val="16"/>
          <w:szCs w:val="16"/>
        </w:rPr>
        <w:t xml:space="preserve">Odběratele </w:t>
      </w:r>
      <w:r w:rsidRPr="005D42B3">
        <w:rPr>
          <w:rFonts w:ascii="Arial" w:hAnsi="Arial" w:cs="Arial"/>
          <w:sz w:val="16"/>
          <w:szCs w:val="16"/>
        </w:rPr>
        <w:tab/>
      </w:r>
    </w:p>
    <w:p w14:paraId="6AACD44D" w14:textId="77777777" w:rsidR="0059194D" w:rsidRPr="005D42B3" w:rsidRDefault="005C28D0" w:rsidP="00C3181E">
      <w:pPr>
        <w:pStyle w:val="Odstavecseseznamem"/>
        <w:spacing w:after="0"/>
        <w:ind w:left="114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  <w:t>b)</w:t>
      </w:r>
      <w:r w:rsidR="00C03C03" w:rsidRPr="005D42B3">
        <w:rPr>
          <w:rFonts w:ascii="Arial" w:hAnsi="Arial" w:cs="Arial"/>
          <w:sz w:val="16"/>
          <w:szCs w:val="16"/>
        </w:rPr>
        <w:t xml:space="preserve"> </w:t>
      </w:r>
      <w:r w:rsidR="0059194D" w:rsidRPr="005D42B3">
        <w:rPr>
          <w:rFonts w:ascii="Arial" w:hAnsi="Arial" w:cs="Arial"/>
          <w:sz w:val="16"/>
          <w:szCs w:val="16"/>
        </w:rPr>
        <w:t>v papírové podobě běžnou poštou</w:t>
      </w:r>
    </w:p>
    <w:p w14:paraId="03598304" w14:textId="77777777" w:rsidR="005254E0" w:rsidRPr="005D42B3" w:rsidRDefault="005254E0" w:rsidP="00C3181E">
      <w:pPr>
        <w:pStyle w:val="Odstavecseseznamem"/>
        <w:spacing w:after="0"/>
        <w:ind w:left="1146"/>
        <w:jc w:val="both"/>
        <w:rPr>
          <w:rFonts w:ascii="Arial" w:hAnsi="Arial" w:cs="Arial"/>
          <w:sz w:val="16"/>
          <w:szCs w:val="16"/>
        </w:rPr>
      </w:pPr>
    </w:p>
    <w:p w14:paraId="1C03D94B" w14:textId="77777777" w:rsidR="005254E0" w:rsidRPr="005D42B3" w:rsidRDefault="005254E0" w:rsidP="00F35F9A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Dodavatel se zavazuje vystavovat odběrateli </w:t>
      </w:r>
      <w:r w:rsidRPr="005D42B3">
        <w:rPr>
          <w:rFonts w:ascii="Arial" w:hAnsi="Arial" w:cs="Arial"/>
          <w:b/>
          <w:sz w:val="16"/>
          <w:szCs w:val="16"/>
        </w:rPr>
        <w:t>souhrnnou fakturu i předpis zálohových plateb</w:t>
      </w:r>
      <w:r w:rsidRPr="005D42B3">
        <w:rPr>
          <w:rFonts w:ascii="Arial" w:hAnsi="Arial" w:cs="Arial"/>
          <w:sz w:val="16"/>
          <w:szCs w:val="16"/>
        </w:rPr>
        <w:t xml:space="preserve"> za všechna jeho odběrná místa </w:t>
      </w:r>
      <w:r w:rsidRPr="005D42B3">
        <w:rPr>
          <w:rFonts w:ascii="Arial" w:hAnsi="Arial" w:cs="Arial"/>
          <w:b/>
          <w:sz w:val="16"/>
          <w:szCs w:val="16"/>
        </w:rPr>
        <w:t>s přiloženým vyúčtováním jednotlivých odběrných míst.</w:t>
      </w:r>
    </w:p>
    <w:p w14:paraId="5AB3C57F" w14:textId="5A202D27" w:rsidR="00B04B5C" w:rsidRPr="00325CE8" w:rsidRDefault="00B04B5C" w:rsidP="00F35F9A">
      <w:pPr>
        <w:spacing w:after="120"/>
        <w:jc w:val="both"/>
        <w:rPr>
          <w:rFonts w:ascii="Arial" w:hAnsi="Arial"/>
          <w:sz w:val="10"/>
        </w:rPr>
      </w:pPr>
      <w:r w:rsidRPr="005D42B3">
        <w:rPr>
          <w:rFonts w:ascii="Arial" w:hAnsi="Arial" w:cs="Arial"/>
          <w:bCs/>
          <w:sz w:val="16"/>
          <w:szCs w:val="16"/>
        </w:rPr>
        <w:t xml:space="preserve">Odběratel na základě platebního </w:t>
      </w:r>
      <w:proofErr w:type="gramStart"/>
      <w:r w:rsidRPr="005D42B3">
        <w:rPr>
          <w:rFonts w:ascii="Arial" w:hAnsi="Arial" w:cs="Arial"/>
          <w:bCs/>
          <w:sz w:val="16"/>
          <w:szCs w:val="16"/>
        </w:rPr>
        <w:t xml:space="preserve">kalendáře </w:t>
      </w:r>
      <w:r w:rsidR="00AE31C7">
        <w:rPr>
          <w:rFonts w:ascii="Arial" w:hAnsi="Arial" w:cs="Arial"/>
          <w:bCs/>
          <w:sz w:val="16"/>
          <w:szCs w:val="16"/>
        </w:rPr>
        <w:t xml:space="preserve"> </w:t>
      </w:r>
      <w:r w:rsidRPr="005D42B3">
        <w:rPr>
          <w:rFonts w:ascii="Arial" w:hAnsi="Arial" w:cs="Arial"/>
          <w:bCs/>
          <w:sz w:val="16"/>
          <w:szCs w:val="16"/>
        </w:rPr>
        <w:t>uhradí</w:t>
      </w:r>
      <w:proofErr w:type="gramEnd"/>
      <w:r w:rsidRPr="005D42B3">
        <w:rPr>
          <w:rFonts w:ascii="Arial" w:hAnsi="Arial" w:cs="Arial"/>
          <w:bCs/>
          <w:sz w:val="16"/>
          <w:szCs w:val="16"/>
        </w:rPr>
        <w:t xml:space="preserve"> dodavateli měsíční zálohu k 15. dni příslušného kalendářního měsíce, a to ve výši 1/12 z</w:t>
      </w:r>
      <w:r w:rsidR="009247DD">
        <w:rPr>
          <w:rFonts w:ascii="Arial" w:hAnsi="Arial" w:cs="Arial"/>
          <w:bCs/>
          <w:sz w:val="16"/>
          <w:szCs w:val="16"/>
        </w:rPr>
        <w:t> </w:t>
      </w:r>
      <w:r w:rsidRPr="005D42B3">
        <w:rPr>
          <w:rFonts w:ascii="Arial" w:hAnsi="Arial" w:cs="Arial"/>
          <w:bCs/>
          <w:sz w:val="16"/>
          <w:szCs w:val="16"/>
        </w:rPr>
        <w:t xml:space="preserve">předpokládané výše roční platby včetně DPH. </w:t>
      </w:r>
      <w:r w:rsidR="00DE3C1D" w:rsidRPr="00325CE8">
        <w:rPr>
          <w:rFonts w:ascii="Arial" w:hAnsi="Arial" w:cs="Arial"/>
          <w:bCs/>
          <w:sz w:val="16"/>
        </w:rPr>
        <w:t xml:space="preserve">Do 15 dnů </w:t>
      </w:r>
      <w:r w:rsidR="008D7901">
        <w:rPr>
          <w:rFonts w:ascii="Arial" w:hAnsi="Arial" w:cs="Arial"/>
          <w:bCs/>
          <w:sz w:val="16"/>
        </w:rPr>
        <w:t>ode dne přijetí úplaty vystaví dodavatel odběrateli</w:t>
      </w:r>
      <w:r w:rsidR="00DE3C1D" w:rsidRPr="00325CE8">
        <w:rPr>
          <w:rFonts w:ascii="Arial" w:hAnsi="Arial" w:cs="Arial"/>
          <w:bCs/>
          <w:sz w:val="16"/>
        </w:rPr>
        <w:t xml:space="preserve"> daňový doklad z přijaté úplaty.</w:t>
      </w:r>
    </w:p>
    <w:p w14:paraId="3DAC7C44" w14:textId="2838D6D1" w:rsidR="00B04B5C" w:rsidRPr="005D42B3" w:rsidRDefault="00B04B5C" w:rsidP="00F35F9A">
      <w:pPr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5D42B3">
        <w:rPr>
          <w:rFonts w:ascii="Arial" w:hAnsi="Arial" w:cs="Arial"/>
          <w:bCs/>
          <w:sz w:val="16"/>
          <w:szCs w:val="16"/>
        </w:rPr>
        <w:t xml:space="preserve">Dodavatel je povinen provést celkové vyúčtování služeb a dodávek sdružených služeb dodávky zemního plynu (s vyúčtováním přeplatku a či nedoplatku) odběrateli ve formě tzv. zúčtovací faktury nejpozději do </w:t>
      </w:r>
      <w:r w:rsidR="00AE31C7">
        <w:rPr>
          <w:rFonts w:ascii="Arial" w:hAnsi="Arial" w:cs="Arial"/>
          <w:bCs/>
          <w:sz w:val="16"/>
          <w:szCs w:val="16"/>
        </w:rPr>
        <w:t>15</w:t>
      </w:r>
      <w:r w:rsidR="00AE31C7" w:rsidRPr="005D42B3">
        <w:rPr>
          <w:rFonts w:ascii="Arial" w:hAnsi="Arial" w:cs="Arial"/>
          <w:bCs/>
          <w:sz w:val="16"/>
          <w:szCs w:val="16"/>
        </w:rPr>
        <w:t xml:space="preserve"> </w:t>
      </w:r>
      <w:r w:rsidRPr="005D42B3">
        <w:rPr>
          <w:rFonts w:ascii="Arial" w:hAnsi="Arial" w:cs="Arial"/>
          <w:bCs/>
          <w:sz w:val="16"/>
          <w:szCs w:val="16"/>
        </w:rPr>
        <w:t xml:space="preserve">kalendářních dnů </w:t>
      </w:r>
      <w:r w:rsidR="00AE31C7">
        <w:rPr>
          <w:rFonts w:ascii="Arial" w:hAnsi="Arial" w:cs="Arial"/>
          <w:bCs/>
          <w:sz w:val="16"/>
          <w:szCs w:val="16"/>
        </w:rPr>
        <w:t xml:space="preserve">ode dne uskutečnění zdanitelného plnění, tj. od posledního </w:t>
      </w:r>
      <w:proofErr w:type="gramStart"/>
      <w:r w:rsidR="00AE31C7">
        <w:rPr>
          <w:rFonts w:ascii="Arial" w:hAnsi="Arial" w:cs="Arial"/>
          <w:bCs/>
          <w:sz w:val="16"/>
          <w:szCs w:val="16"/>
        </w:rPr>
        <w:t xml:space="preserve">dne </w:t>
      </w:r>
      <w:r w:rsidRPr="005D42B3">
        <w:rPr>
          <w:rFonts w:ascii="Arial" w:hAnsi="Arial" w:cs="Arial"/>
          <w:bCs/>
          <w:sz w:val="16"/>
          <w:szCs w:val="16"/>
        </w:rPr>
        <w:t xml:space="preserve"> fakturačního</w:t>
      </w:r>
      <w:proofErr w:type="gramEnd"/>
      <w:r w:rsidRPr="005D42B3">
        <w:rPr>
          <w:rFonts w:ascii="Arial" w:hAnsi="Arial" w:cs="Arial"/>
          <w:bCs/>
          <w:sz w:val="16"/>
          <w:szCs w:val="16"/>
        </w:rPr>
        <w:t xml:space="preserve"> období, stanoveného dodavatelem dle platných předpisů nebo při ukončení smluvního vztahu, jakož i v případě přerušení dodávky zemního plynu, se zúčtováním řádně zaplacených zálohových faktur. </w:t>
      </w:r>
    </w:p>
    <w:p w14:paraId="1D282275" w14:textId="51AC20BE" w:rsidR="00B04B5C" w:rsidRPr="005D42B3" w:rsidRDefault="00B04B5C" w:rsidP="00F35F9A">
      <w:pPr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5D42B3">
        <w:rPr>
          <w:rFonts w:ascii="Arial" w:hAnsi="Arial" w:cs="Arial"/>
          <w:bCs/>
          <w:sz w:val="16"/>
          <w:szCs w:val="16"/>
        </w:rPr>
        <w:lastRenderedPageBreak/>
        <w:t>Splatnost faktur (s vyúčtováním přeplatku a či nedoplatku) činí 30 dnů ode dne doručení faktury odběrateli. Dnem zaplacení se rozumí den odeslání platby adresátovi. Připadne-li den odeslání na den pracovního klidu, rozumí se dnem odeslání první následující pracovní den. Faktura</w:t>
      </w:r>
      <w:r w:rsidR="00AE31C7">
        <w:rPr>
          <w:rFonts w:ascii="Arial" w:hAnsi="Arial" w:cs="Arial"/>
          <w:bCs/>
          <w:sz w:val="16"/>
          <w:szCs w:val="16"/>
        </w:rPr>
        <w:t xml:space="preserve"> </w:t>
      </w:r>
      <w:r w:rsidRPr="005D42B3">
        <w:rPr>
          <w:rFonts w:ascii="Arial" w:hAnsi="Arial" w:cs="Arial"/>
          <w:bCs/>
          <w:sz w:val="16"/>
          <w:szCs w:val="16"/>
        </w:rPr>
        <w:t>musí mít veškeré náležitosti daňového dokladu ve smyslu zákona o dani z přidané hodnoty.</w:t>
      </w:r>
    </w:p>
    <w:p w14:paraId="27BEAF9B" w14:textId="77777777" w:rsidR="00CA412D" w:rsidRPr="005D42B3" w:rsidRDefault="00CA412D" w:rsidP="00F35F9A">
      <w:pPr>
        <w:spacing w:after="120"/>
        <w:jc w:val="both"/>
        <w:rPr>
          <w:rFonts w:ascii="Arial" w:hAnsi="Arial" w:cs="Arial"/>
          <w:bCs/>
          <w:sz w:val="16"/>
          <w:szCs w:val="16"/>
        </w:rPr>
      </w:pPr>
      <w:r w:rsidRPr="005D42B3">
        <w:rPr>
          <w:rFonts w:ascii="Arial" w:hAnsi="Arial" w:cs="Arial"/>
          <w:bCs/>
          <w:sz w:val="16"/>
          <w:szCs w:val="16"/>
        </w:rPr>
        <w:t>V případě prodlení dodavatele s vystavením zúčtovací faktury ve lhůtě či s uhrazením přeplatku ve lhůtě platnosti se dodavatel zavazuje zaplatit odběrateli smluvní pokutu ve výši 200 Kč za každé dotčené odběrné místo a každý den prodlení. Zaplacením smluvní pokuty není dotčeno právo odběratele požadovat náhradu škody způsobené porušením povinnosti, na kterou se smluvní pokuta vztahuje, a to i ve výši přesahující smluvní pokutu.</w:t>
      </w:r>
    </w:p>
    <w:p w14:paraId="5963A3A0" w14:textId="77777777" w:rsidR="005329F0" w:rsidRPr="005D42B3" w:rsidRDefault="005329F0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Odběratel může požadovat a dodavatel se pro tento případ zavazuje zasílat </w:t>
      </w:r>
      <w:r w:rsidRPr="005D42B3">
        <w:rPr>
          <w:rFonts w:ascii="Arial" w:hAnsi="Arial" w:cs="Arial"/>
          <w:b/>
          <w:sz w:val="16"/>
          <w:szCs w:val="16"/>
        </w:rPr>
        <w:t>veškerá vyúčtování a fakturaci formou elektronických prostředků.</w:t>
      </w:r>
    </w:p>
    <w:p w14:paraId="5E89148E" w14:textId="77777777" w:rsidR="00C3181E" w:rsidRPr="005D42B3" w:rsidRDefault="00C3181E" w:rsidP="005C28D0">
      <w:pPr>
        <w:pStyle w:val="Odstavecseseznamem"/>
        <w:ind w:left="1146"/>
        <w:jc w:val="both"/>
        <w:rPr>
          <w:rFonts w:ascii="Arial" w:hAnsi="Arial" w:cs="Arial"/>
          <w:sz w:val="16"/>
          <w:szCs w:val="16"/>
        </w:rPr>
      </w:pPr>
    </w:p>
    <w:p w14:paraId="4BE666D9" w14:textId="77777777"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Doba trvání smlouvy</w:t>
      </w:r>
    </w:p>
    <w:p w14:paraId="610475D0" w14:textId="77777777" w:rsidR="0059194D" w:rsidRDefault="0059194D" w:rsidP="00D25643">
      <w:pPr>
        <w:spacing w:after="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Smlouva nabývá účinnosti </w:t>
      </w:r>
      <w:r w:rsidRPr="005913E3">
        <w:rPr>
          <w:rFonts w:ascii="Arial" w:hAnsi="Arial" w:cs="Arial"/>
          <w:sz w:val="16"/>
          <w:szCs w:val="16"/>
        </w:rPr>
        <w:t>dnem 1.1.201</w:t>
      </w:r>
      <w:r w:rsidR="00686D4C" w:rsidRPr="005913E3">
        <w:rPr>
          <w:rFonts w:ascii="Arial" w:hAnsi="Arial" w:cs="Arial"/>
          <w:sz w:val="16"/>
          <w:szCs w:val="16"/>
        </w:rPr>
        <w:t>6</w:t>
      </w:r>
      <w:r w:rsidRPr="005913E3">
        <w:rPr>
          <w:rFonts w:ascii="Arial" w:hAnsi="Arial" w:cs="Arial"/>
          <w:sz w:val="16"/>
          <w:szCs w:val="16"/>
        </w:rPr>
        <w:t xml:space="preserve"> 6:00 hod a sjednává se na dobu určitou do 1.1.201</w:t>
      </w:r>
      <w:r w:rsidR="00686D4C" w:rsidRPr="005913E3">
        <w:rPr>
          <w:rFonts w:ascii="Arial" w:hAnsi="Arial" w:cs="Arial"/>
          <w:sz w:val="16"/>
          <w:szCs w:val="16"/>
        </w:rPr>
        <w:t>7</w:t>
      </w:r>
      <w:r w:rsidRPr="005913E3">
        <w:rPr>
          <w:rFonts w:ascii="Arial" w:hAnsi="Arial" w:cs="Arial"/>
          <w:sz w:val="16"/>
          <w:szCs w:val="16"/>
        </w:rPr>
        <w:t xml:space="preserve"> </w:t>
      </w:r>
      <w:r w:rsidR="00725EED" w:rsidRPr="005913E3">
        <w:rPr>
          <w:rFonts w:ascii="Arial" w:hAnsi="Arial" w:cs="Arial"/>
          <w:sz w:val="16"/>
          <w:szCs w:val="16"/>
        </w:rPr>
        <w:t>6:00</w:t>
      </w:r>
      <w:r w:rsidRPr="005913E3">
        <w:rPr>
          <w:rFonts w:ascii="Arial" w:hAnsi="Arial" w:cs="Arial"/>
          <w:sz w:val="16"/>
          <w:szCs w:val="16"/>
        </w:rPr>
        <w:t xml:space="preserve"> hod</w:t>
      </w:r>
      <w:r w:rsidR="00D25643" w:rsidRPr="005913E3">
        <w:rPr>
          <w:rFonts w:ascii="Arial" w:hAnsi="Arial" w:cs="Arial"/>
          <w:sz w:val="16"/>
          <w:szCs w:val="16"/>
        </w:rPr>
        <w:t>, bez možnosti automatického prodlužování</w:t>
      </w:r>
      <w:r w:rsidRPr="005913E3">
        <w:rPr>
          <w:rFonts w:ascii="Arial" w:hAnsi="Arial" w:cs="Arial"/>
          <w:sz w:val="16"/>
          <w:szCs w:val="16"/>
        </w:rPr>
        <w:t>.</w:t>
      </w:r>
    </w:p>
    <w:p w14:paraId="03288462" w14:textId="77777777" w:rsidR="0059194D" w:rsidRPr="005D42B3" w:rsidRDefault="0059194D" w:rsidP="00D25643">
      <w:pPr>
        <w:spacing w:after="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Požadovaný termín zahájení dodávky je pro každé místo uvedeno v Příloze č.</w:t>
      </w:r>
      <w:r w:rsidR="00C3181E" w:rsidRPr="005D42B3">
        <w:rPr>
          <w:rFonts w:ascii="Arial" w:hAnsi="Arial" w:cs="Arial"/>
          <w:sz w:val="16"/>
          <w:szCs w:val="16"/>
        </w:rPr>
        <w:t xml:space="preserve"> </w:t>
      </w:r>
      <w:r w:rsidRPr="005D42B3">
        <w:rPr>
          <w:rFonts w:ascii="Arial" w:hAnsi="Arial" w:cs="Arial"/>
          <w:sz w:val="16"/>
          <w:szCs w:val="16"/>
        </w:rPr>
        <w:t>1. Specifikace odběrných míst.</w:t>
      </w:r>
    </w:p>
    <w:p w14:paraId="446B5295" w14:textId="77777777" w:rsidR="00C3181E" w:rsidRPr="005D42B3" w:rsidRDefault="00C3181E" w:rsidP="00C3181E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14:paraId="644BF3B3" w14:textId="77777777"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Zvláštní ujednání</w:t>
      </w:r>
    </w:p>
    <w:p w14:paraId="50D0F524" w14:textId="52EA8D6B"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Odběrné místo bude zařazeno do odběrného pásma pro stanovení ceny za odebraný plyn na základě předpokládané roční spotřeby uvedené v</w:t>
      </w:r>
      <w:r w:rsidR="009247DD">
        <w:rPr>
          <w:rFonts w:ascii="Arial" w:hAnsi="Arial" w:cs="Arial"/>
          <w:sz w:val="16"/>
          <w:szCs w:val="16"/>
        </w:rPr>
        <w:t> </w:t>
      </w:r>
      <w:r w:rsidRPr="005D42B3">
        <w:rPr>
          <w:rFonts w:ascii="Arial" w:hAnsi="Arial" w:cs="Arial"/>
          <w:sz w:val="16"/>
          <w:szCs w:val="16"/>
        </w:rPr>
        <w:t>Příloze č. 1 této smlouvy.</w:t>
      </w:r>
    </w:p>
    <w:p w14:paraId="7B593B1E" w14:textId="3132C22A"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V případech zrušení odběrného místa, zejména z důvodu převodu vlastnických práv k odběrnému místu, odstranění odběrného místa, demolice, zničení živelnou pohromou, je </w:t>
      </w:r>
      <w:r w:rsidR="008E4840">
        <w:rPr>
          <w:rFonts w:ascii="Arial" w:hAnsi="Arial" w:cs="Arial"/>
          <w:sz w:val="16"/>
          <w:szCs w:val="16"/>
        </w:rPr>
        <w:t xml:space="preserve">Odběratel </w:t>
      </w:r>
      <w:r w:rsidRPr="005D42B3">
        <w:rPr>
          <w:rFonts w:ascii="Arial" w:hAnsi="Arial" w:cs="Arial"/>
          <w:sz w:val="16"/>
          <w:szCs w:val="16"/>
        </w:rPr>
        <w:t>oprávněn ukončit smluvní vztah s dodavatelem k danému odběrnému místu nejpozději do 30 dnů ode dne oznámení dodavateli o zrušení odběrného místa, a to bez nároku na finanční kompenzaci ze strany dodavatele.</w:t>
      </w:r>
    </w:p>
    <w:p w14:paraId="293DF452" w14:textId="1C1F473A"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 důvodu provozních potřeb se může v průběhu smluvního období počet měřících nebo odběrných míst </w:t>
      </w:r>
      <w:r w:rsidR="008E4840">
        <w:rPr>
          <w:rFonts w:ascii="Arial" w:hAnsi="Arial" w:cs="Arial"/>
          <w:sz w:val="16"/>
          <w:szCs w:val="16"/>
        </w:rPr>
        <w:t xml:space="preserve">Odběratele </w:t>
      </w:r>
      <w:r w:rsidRPr="005D42B3">
        <w:rPr>
          <w:rFonts w:ascii="Arial" w:hAnsi="Arial" w:cs="Arial"/>
          <w:sz w:val="16"/>
          <w:szCs w:val="16"/>
        </w:rPr>
        <w:t>změnit, a to jak zrušením stávajících, tak zřízením nových odběrných míst. Dodavatel bude i pro tyto případy garantovat nabídnuté jednotkové ceny a neprodleně po oznámení o zřízení nového odběrného místa zahájí dodávku za podmínek sjednaných v rámci předmětné veřejné zakázky.</w:t>
      </w:r>
    </w:p>
    <w:p w14:paraId="48D2C288" w14:textId="77777777"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Dodavatel si nebude nárokovat jakékoli sankce za překročení či neodebrání předpokládaného množství odběru zemního plynu. Sankcí se rozumí rovněž navýšení smluvní ceny sjednané v dodavatelské smlouvě na základě výsledku elektronické aukce.</w:t>
      </w:r>
    </w:p>
    <w:p w14:paraId="6C2006B7" w14:textId="76FC4C05" w:rsidR="0059194D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Každá smluvní strana je oprávněna od Smlouvy odstoupit v případě hrubého porušení Smlouvy druhou stranou, a v případě jiného než hrubého porušení tehdy, pokud takové porušení nebylo odstraněno nebo se opakuje i přes písemnou výzvu porušující straně k odstranění závadného stavu. Odstoupení vyžaduje písemnou formu a je účinné ode dne uvedeného v odstoupení, ne však dříve než v den doručení druhé smluvní straně.</w:t>
      </w:r>
    </w:p>
    <w:p w14:paraId="23AE9BF5" w14:textId="77777777" w:rsidR="005254E0" w:rsidRPr="005D42B3" w:rsidRDefault="005254E0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Dodavatel poskytne po ukončení období plnění dle této smlouvy na základě požadavku odběratele soubor dat v elektronické podobě, obsahující kompletní údaje o realizované dodávce zemního plynu v rozsahu fakturačních dokladů za celé období dodávky dle této smlouvy.</w:t>
      </w:r>
    </w:p>
    <w:p w14:paraId="7CA1DB0B" w14:textId="77777777" w:rsidR="005254E0" w:rsidRDefault="005254E0" w:rsidP="00F35F9A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Dodavatel není oprávněn nárokovat jakékoli sankce, poplatky či plnění ze strany odběratele za překročení či neodebrání předpokládaného množství odběru zemního plynu.</w:t>
      </w:r>
      <w:r w:rsidRPr="005D42B3">
        <w:rPr>
          <w:rFonts w:ascii="Arial" w:hAnsi="Arial" w:cs="Arial"/>
          <w:b/>
          <w:sz w:val="16"/>
          <w:szCs w:val="16"/>
        </w:rPr>
        <w:t xml:space="preserve"> </w:t>
      </w:r>
    </w:p>
    <w:p w14:paraId="685D3B6A" w14:textId="03CF43A0" w:rsidR="00F309C5" w:rsidRPr="00F309C5" w:rsidRDefault="00F309C5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F309C5">
        <w:rPr>
          <w:rFonts w:ascii="Arial" w:hAnsi="Arial" w:cs="Arial"/>
          <w:sz w:val="16"/>
          <w:szCs w:val="16"/>
        </w:rPr>
        <w:t>Dodavatel se zavazuje jménem a na účet</w:t>
      </w:r>
      <w:r w:rsidR="008E4840">
        <w:rPr>
          <w:rFonts w:ascii="Arial" w:hAnsi="Arial" w:cs="Arial"/>
          <w:sz w:val="16"/>
          <w:szCs w:val="16"/>
        </w:rPr>
        <w:t xml:space="preserve"> Odběratele</w:t>
      </w:r>
      <w:r w:rsidRPr="00F309C5">
        <w:rPr>
          <w:rFonts w:ascii="Arial" w:hAnsi="Arial" w:cs="Arial"/>
          <w:sz w:val="16"/>
          <w:szCs w:val="16"/>
        </w:rPr>
        <w:t xml:space="preserve"> učinit veškeré potřebné právní kroky vedoucí k ukončení všech stávajících smluvních vztahů týkajících se </w:t>
      </w:r>
      <w:r w:rsidR="00644B51">
        <w:rPr>
          <w:rFonts w:ascii="Arial" w:hAnsi="Arial" w:cs="Arial"/>
          <w:sz w:val="16"/>
          <w:szCs w:val="16"/>
        </w:rPr>
        <w:t xml:space="preserve">sdružených služeb </w:t>
      </w:r>
      <w:r w:rsidRPr="00F309C5">
        <w:rPr>
          <w:rFonts w:ascii="Arial" w:hAnsi="Arial" w:cs="Arial"/>
          <w:sz w:val="16"/>
          <w:szCs w:val="16"/>
        </w:rPr>
        <w:t xml:space="preserve">dodávek zemního plynu do odběrných míst, a to tak, aby odběr zemního plynu od stávajícího dodavatele </w:t>
      </w:r>
      <w:r w:rsidRPr="005913E3">
        <w:rPr>
          <w:rFonts w:ascii="Arial" w:hAnsi="Arial" w:cs="Arial"/>
          <w:sz w:val="16"/>
          <w:szCs w:val="16"/>
        </w:rPr>
        <w:t>skončil dne 1. 1. 201</w:t>
      </w:r>
      <w:r w:rsidR="00967B87" w:rsidRPr="005913E3">
        <w:rPr>
          <w:rFonts w:ascii="Arial" w:hAnsi="Arial" w:cs="Arial"/>
          <w:sz w:val="16"/>
          <w:szCs w:val="16"/>
        </w:rPr>
        <w:t>6</w:t>
      </w:r>
      <w:r w:rsidRPr="005913E3">
        <w:rPr>
          <w:rFonts w:ascii="Arial" w:hAnsi="Arial" w:cs="Arial"/>
          <w:sz w:val="16"/>
          <w:szCs w:val="16"/>
        </w:rPr>
        <w:t xml:space="preserve"> do 6:00 hod. Podmínkou splnění povin</w:t>
      </w:r>
      <w:r w:rsidRPr="00F309C5">
        <w:rPr>
          <w:rFonts w:ascii="Arial" w:hAnsi="Arial" w:cs="Arial"/>
          <w:sz w:val="16"/>
          <w:szCs w:val="16"/>
        </w:rPr>
        <w:t xml:space="preserve">nosti uvedené v tomto ustanovení bude vystavení písemného zplnomocnění ze strany </w:t>
      </w:r>
      <w:r w:rsidR="00C0263C">
        <w:rPr>
          <w:rFonts w:ascii="Arial" w:hAnsi="Arial" w:cs="Arial"/>
          <w:sz w:val="16"/>
          <w:szCs w:val="16"/>
        </w:rPr>
        <w:t>odběratele</w:t>
      </w:r>
      <w:r w:rsidRPr="00F309C5">
        <w:rPr>
          <w:rFonts w:ascii="Arial" w:hAnsi="Arial" w:cs="Arial"/>
          <w:sz w:val="16"/>
          <w:szCs w:val="16"/>
        </w:rPr>
        <w:t xml:space="preserve">, a to neprodleně po podpisu </w:t>
      </w:r>
      <w:r>
        <w:rPr>
          <w:rFonts w:ascii="Arial" w:hAnsi="Arial" w:cs="Arial"/>
          <w:sz w:val="16"/>
          <w:szCs w:val="16"/>
        </w:rPr>
        <w:t xml:space="preserve">této </w:t>
      </w:r>
      <w:r w:rsidRPr="00F309C5">
        <w:rPr>
          <w:rFonts w:ascii="Arial" w:hAnsi="Arial" w:cs="Arial"/>
          <w:sz w:val="16"/>
          <w:szCs w:val="16"/>
        </w:rPr>
        <w:t>dodavatelské smlouvy.</w:t>
      </w:r>
    </w:p>
    <w:p w14:paraId="5BBD4C9D" w14:textId="77777777" w:rsidR="00887B9B" w:rsidRPr="005D42B3" w:rsidRDefault="00887B9B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14:paraId="08310D96" w14:textId="77777777" w:rsidR="00887B9B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Nedílnými součástmi této Smlouvy jsou</w:t>
      </w:r>
      <w:r w:rsidR="00887B9B" w:rsidRPr="005D42B3">
        <w:rPr>
          <w:rFonts w:ascii="Arial" w:hAnsi="Arial" w:cs="Arial"/>
          <w:sz w:val="16"/>
          <w:szCs w:val="16"/>
        </w:rPr>
        <w:t>:</w:t>
      </w:r>
    </w:p>
    <w:p w14:paraId="5CE2F235" w14:textId="2F351D31" w:rsidR="00D00748" w:rsidRPr="005D42B3" w:rsidRDefault="0059194D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Příloha č. 1</w:t>
      </w:r>
      <w:r w:rsidR="00887B9B" w:rsidRPr="005D42B3">
        <w:rPr>
          <w:rFonts w:ascii="Arial" w:hAnsi="Arial" w:cs="Arial"/>
          <w:sz w:val="16"/>
          <w:szCs w:val="16"/>
        </w:rPr>
        <w:t xml:space="preserve">: </w:t>
      </w:r>
      <w:r w:rsidR="003E771E" w:rsidRPr="005D42B3">
        <w:rPr>
          <w:rFonts w:ascii="Arial" w:hAnsi="Arial" w:cs="Arial"/>
          <w:sz w:val="16"/>
          <w:szCs w:val="16"/>
        </w:rPr>
        <w:t xml:space="preserve">Odběrná </w:t>
      </w:r>
      <w:r w:rsidR="00325CE8" w:rsidRPr="005D42B3">
        <w:rPr>
          <w:rFonts w:ascii="Arial" w:hAnsi="Arial" w:cs="Arial"/>
          <w:sz w:val="16"/>
          <w:szCs w:val="16"/>
        </w:rPr>
        <w:t xml:space="preserve">místa </w:t>
      </w:r>
      <w:r w:rsidR="00325CE8">
        <w:rPr>
          <w:rFonts w:ascii="Arial" w:hAnsi="Arial" w:cs="Arial"/>
          <w:sz w:val="16"/>
          <w:szCs w:val="16"/>
        </w:rPr>
        <w:t>Odběratele</w:t>
      </w:r>
    </w:p>
    <w:p w14:paraId="0972B65F" w14:textId="77777777" w:rsidR="0059194D" w:rsidRDefault="00D00748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Příloha č. 2: </w:t>
      </w:r>
      <w:r w:rsidR="0059194D" w:rsidRPr="005D42B3">
        <w:rPr>
          <w:rFonts w:ascii="Arial" w:hAnsi="Arial" w:cs="Arial"/>
          <w:sz w:val="16"/>
          <w:szCs w:val="16"/>
        </w:rPr>
        <w:t>V</w:t>
      </w:r>
      <w:r w:rsidR="00F6471A" w:rsidRPr="005D42B3">
        <w:rPr>
          <w:rFonts w:ascii="Arial" w:hAnsi="Arial" w:cs="Arial"/>
          <w:sz w:val="16"/>
          <w:szCs w:val="16"/>
        </w:rPr>
        <w:t>šeobecné obchodní podmínky</w:t>
      </w:r>
    </w:p>
    <w:p w14:paraId="10CB0932" w14:textId="77777777" w:rsidR="005D0517" w:rsidRPr="005D42B3" w:rsidRDefault="005D0517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Příloha č. 3</w:t>
      </w:r>
      <w:r w:rsidR="007F7331" w:rsidRPr="007F7331">
        <w:rPr>
          <w:rFonts w:ascii="Arial" w:hAnsi="Arial" w:cs="Arial"/>
          <w:sz w:val="16"/>
          <w:szCs w:val="16"/>
        </w:rPr>
        <w:t xml:space="preserve"> ke SMLOUVĚ O SDRUŽENÝCH SLUŽBÁCH DODÁVKY ZEMNÍHO PLYNU (maloodběr)</w:t>
      </w:r>
    </w:p>
    <w:p w14:paraId="582C7CDC" w14:textId="77777777" w:rsidR="00E97A06" w:rsidRDefault="00E97A06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14:paraId="3DBED884" w14:textId="77777777" w:rsidR="005913E3" w:rsidRDefault="005913E3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14:paraId="5D851C90" w14:textId="77777777" w:rsidR="005913E3" w:rsidRPr="005D42B3" w:rsidRDefault="005913E3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1689"/>
        <w:gridCol w:w="3518"/>
      </w:tblGrid>
      <w:tr w:rsidR="005913E3" w:rsidRPr="005D42B3" w14:paraId="237E2B15" w14:textId="77777777" w:rsidTr="0029538E">
        <w:trPr>
          <w:trHeight w:val="91"/>
        </w:trPr>
        <w:tc>
          <w:tcPr>
            <w:tcW w:w="3519" w:type="dxa"/>
          </w:tcPr>
          <w:p w14:paraId="56A5ADA2" w14:textId="77777777" w:rsidR="005913E3" w:rsidRPr="005D42B3" w:rsidRDefault="005913E3" w:rsidP="0029538E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15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16"/>
          </w:p>
        </w:tc>
        <w:tc>
          <w:tcPr>
            <w:tcW w:w="1689" w:type="dxa"/>
          </w:tcPr>
          <w:p w14:paraId="2D02FA37" w14:textId="77777777" w:rsidR="005913E3" w:rsidRPr="005D42B3" w:rsidRDefault="005913E3" w:rsidP="0029538E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</w:tcPr>
          <w:p w14:paraId="6645EC11" w14:textId="77777777" w:rsidR="005913E3" w:rsidRPr="005D42B3" w:rsidRDefault="005913E3" w:rsidP="0029538E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Ostravě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17"/>
          </w:p>
        </w:tc>
      </w:tr>
      <w:tr w:rsidR="005913E3" w:rsidRPr="005D42B3" w14:paraId="27AA6D54" w14:textId="77777777" w:rsidTr="0029538E">
        <w:trPr>
          <w:trHeight w:hRule="exact" w:val="856"/>
        </w:trPr>
        <w:tc>
          <w:tcPr>
            <w:tcW w:w="3519" w:type="dxa"/>
            <w:tcBorders>
              <w:bottom w:val="dotted" w:sz="4" w:space="0" w:color="auto"/>
            </w:tcBorders>
            <w:vAlign w:val="center"/>
          </w:tcPr>
          <w:p w14:paraId="3A47957A" w14:textId="77777777" w:rsidR="005913E3" w:rsidRDefault="005913E3" w:rsidP="0029538E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73E42C8" w14:textId="77777777" w:rsidR="005913E3" w:rsidRDefault="005913E3" w:rsidP="0029538E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5A94EE36" w14:textId="77777777" w:rsidR="005913E3" w:rsidRPr="005D42B3" w:rsidRDefault="005913E3" w:rsidP="0029538E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vAlign w:val="center"/>
          </w:tcPr>
          <w:p w14:paraId="1E837B9D" w14:textId="77777777" w:rsidR="005913E3" w:rsidRPr="005D42B3" w:rsidRDefault="005913E3" w:rsidP="0029538E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bottom w:val="dotted" w:sz="4" w:space="0" w:color="auto"/>
            </w:tcBorders>
            <w:vAlign w:val="center"/>
          </w:tcPr>
          <w:p w14:paraId="352A0263" w14:textId="77777777" w:rsidR="005913E3" w:rsidRPr="005D42B3" w:rsidRDefault="005913E3" w:rsidP="0029538E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913E3" w:rsidRPr="005D42B3" w14:paraId="3B4E1C39" w14:textId="77777777" w:rsidTr="0029538E">
        <w:trPr>
          <w:trHeight w:val="271"/>
        </w:trPr>
        <w:tc>
          <w:tcPr>
            <w:tcW w:w="3519" w:type="dxa"/>
            <w:tcBorders>
              <w:top w:val="dotted" w:sz="4" w:space="0" w:color="auto"/>
            </w:tcBorders>
          </w:tcPr>
          <w:p w14:paraId="5030EF6E" w14:textId="77777777" w:rsidR="005913E3" w:rsidRPr="005D42B3" w:rsidRDefault="005913E3" w:rsidP="0029538E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dodavatele </w:t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18"/>
          </w:p>
        </w:tc>
        <w:tc>
          <w:tcPr>
            <w:tcW w:w="1689" w:type="dxa"/>
            <w:vAlign w:val="center"/>
          </w:tcPr>
          <w:p w14:paraId="005E267B" w14:textId="77777777" w:rsidR="005913E3" w:rsidRPr="005D42B3" w:rsidRDefault="005913E3" w:rsidP="0029538E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top w:val="dotted" w:sz="4" w:space="0" w:color="auto"/>
            </w:tcBorders>
          </w:tcPr>
          <w:p w14:paraId="36F6F628" w14:textId="77777777" w:rsidR="005913E3" w:rsidRPr="005D42B3" w:rsidRDefault="005913E3" w:rsidP="0029538E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odběratele </w:t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DE3C1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19"/>
          </w:p>
        </w:tc>
      </w:tr>
    </w:tbl>
    <w:p w14:paraId="3E9D87B4" w14:textId="77777777" w:rsidR="005824A9" w:rsidRDefault="005824A9" w:rsidP="00F35F9A">
      <w:pPr>
        <w:rPr>
          <w:rFonts w:ascii="Arial" w:hAnsi="Arial" w:cs="Arial"/>
          <w:sz w:val="16"/>
          <w:szCs w:val="16"/>
        </w:rPr>
      </w:pPr>
    </w:p>
    <w:p w14:paraId="3C6BEBCB" w14:textId="77777777" w:rsidR="00DE08F1" w:rsidRPr="00DE08F1" w:rsidRDefault="008C71A3" w:rsidP="005B0BBD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br w:type="page"/>
      </w:r>
      <w:r w:rsidR="00DE08F1" w:rsidRPr="00DE08F1">
        <w:rPr>
          <w:rFonts w:ascii="Arial" w:hAnsi="Arial" w:cs="Arial"/>
          <w:b/>
          <w:sz w:val="16"/>
          <w:szCs w:val="16"/>
          <w:u w:val="single"/>
        </w:rPr>
        <w:lastRenderedPageBreak/>
        <w:t>Příloha č. 3 ke SMLOUVĚ O SDRUŽENÝCH SLUŽBÁCH DODÁVKY ZEMNÍHO PLYNU</w:t>
      </w:r>
      <w:r w:rsidR="00DE08F1">
        <w:rPr>
          <w:rFonts w:ascii="Arial" w:hAnsi="Arial" w:cs="Arial"/>
          <w:b/>
          <w:sz w:val="16"/>
          <w:szCs w:val="16"/>
          <w:u w:val="single"/>
        </w:rPr>
        <w:t xml:space="preserve"> (maloodběr)</w:t>
      </w:r>
    </w:p>
    <w:p w14:paraId="134197B3" w14:textId="77777777" w:rsidR="00DE08F1" w:rsidRPr="00DE08F1" w:rsidRDefault="00DE08F1" w:rsidP="00DE08F1">
      <w:pPr>
        <w:pStyle w:val="Nzevlnku"/>
        <w:spacing w:before="120"/>
        <w:jc w:val="center"/>
        <w:rPr>
          <w:sz w:val="16"/>
          <w:szCs w:val="16"/>
        </w:rPr>
      </w:pPr>
      <w:r w:rsidRPr="00DE08F1">
        <w:rPr>
          <w:sz w:val="16"/>
          <w:szCs w:val="16"/>
        </w:rPr>
        <w:t>I. Místo plnění</w:t>
      </w:r>
    </w:p>
    <w:p w14:paraId="56657668" w14:textId="77777777" w:rsidR="00DE08F1" w:rsidRPr="00DE08F1" w:rsidRDefault="00DE08F1" w:rsidP="00DE08F1">
      <w:pPr>
        <w:numPr>
          <w:ilvl w:val="0"/>
          <w:numId w:val="3"/>
        </w:numPr>
        <w:tabs>
          <w:tab w:val="clear" w:pos="720"/>
          <w:tab w:val="num" w:pos="-4111"/>
          <w:tab w:val="left" w:pos="-2552"/>
        </w:tabs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DE08F1">
        <w:rPr>
          <w:rFonts w:ascii="Arial" w:hAnsi="Arial" w:cs="Arial"/>
          <w:sz w:val="16"/>
          <w:szCs w:val="16"/>
        </w:rPr>
        <w:t>Místa plnění jsou:</w:t>
      </w:r>
    </w:p>
    <w:p w14:paraId="0D7C5F75" w14:textId="77777777" w:rsidR="00DE08F1" w:rsidRPr="00DE08F1" w:rsidRDefault="00DE08F1" w:rsidP="005B0BBD">
      <w:pPr>
        <w:pStyle w:val="Zkladntext"/>
        <w:numPr>
          <w:ilvl w:val="1"/>
          <w:numId w:val="3"/>
        </w:numPr>
        <w:tabs>
          <w:tab w:val="clear" w:pos="1440"/>
          <w:tab w:val="num" w:pos="-3828"/>
        </w:tabs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  <w:u w:val="single"/>
        </w:rPr>
      </w:pPr>
      <w:r w:rsidRPr="00DE08F1">
        <w:rPr>
          <w:rFonts w:ascii="Arial" w:hAnsi="Arial" w:cs="Arial"/>
          <w:sz w:val="16"/>
          <w:szCs w:val="16"/>
          <w:u w:val="single"/>
        </w:rPr>
        <w:t>odběrná místa kategorie maloodběr (MO) od 63 MWh/rok do 630 MWh/rok:</w:t>
      </w:r>
    </w:p>
    <w:p w14:paraId="7766BFA7" w14:textId="77777777" w:rsidR="00DE08F1" w:rsidRPr="001325F3" w:rsidRDefault="00DE08F1" w:rsidP="005B0BBD">
      <w:pPr>
        <w:pStyle w:val="Zkladntext"/>
        <w:numPr>
          <w:ilvl w:val="2"/>
          <w:numId w:val="4"/>
        </w:numPr>
        <w:tabs>
          <w:tab w:val="clear" w:pos="502"/>
          <w:tab w:val="num" w:pos="709"/>
        </w:tabs>
        <w:spacing w:after="0" w:line="240" w:lineRule="auto"/>
        <w:ind w:left="567" w:firstLine="0"/>
        <w:jc w:val="both"/>
        <w:rPr>
          <w:rFonts w:ascii="Arial" w:hAnsi="Arial" w:cs="Arial"/>
          <w:sz w:val="16"/>
          <w:szCs w:val="16"/>
        </w:rPr>
      </w:pPr>
      <w:r w:rsidRPr="001325F3">
        <w:rPr>
          <w:rFonts w:ascii="Arial" w:hAnsi="Arial" w:cs="Arial"/>
          <w:sz w:val="16"/>
          <w:szCs w:val="16"/>
        </w:rPr>
        <w:t xml:space="preserve">ČOM: 183867 - Martinovská 3244/42, 723 00 Ostrava – </w:t>
      </w:r>
      <w:proofErr w:type="spellStart"/>
      <w:r w:rsidRPr="001325F3">
        <w:rPr>
          <w:rFonts w:ascii="Arial" w:hAnsi="Arial" w:cs="Arial"/>
          <w:sz w:val="16"/>
          <w:szCs w:val="16"/>
        </w:rPr>
        <w:t>Martinov</w:t>
      </w:r>
      <w:proofErr w:type="spellEnd"/>
      <w:r w:rsidRPr="001325F3">
        <w:rPr>
          <w:rFonts w:ascii="Arial" w:hAnsi="Arial" w:cs="Arial"/>
          <w:sz w:val="16"/>
          <w:szCs w:val="16"/>
        </w:rPr>
        <w:t xml:space="preserve"> v plánované výši 150 MWh/rok pro rok 201</w:t>
      </w:r>
      <w:r w:rsidR="00EF1AEC" w:rsidRPr="001325F3">
        <w:rPr>
          <w:rFonts w:ascii="Arial" w:hAnsi="Arial" w:cs="Arial"/>
          <w:sz w:val="16"/>
          <w:szCs w:val="16"/>
        </w:rPr>
        <w:t>6</w:t>
      </w:r>
      <w:r w:rsidRPr="001325F3">
        <w:rPr>
          <w:rFonts w:ascii="Arial" w:hAnsi="Arial" w:cs="Arial"/>
          <w:sz w:val="16"/>
          <w:szCs w:val="16"/>
        </w:rPr>
        <w:t xml:space="preserve">. </w:t>
      </w:r>
    </w:p>
    <w:p w14:paraId="3BD353B1" w14:textId="77777777" w:rsidR="00DE08F1" w:rsidRPr="00DE08F1" w:rsidRDefault="00DE08F1" w:rsidP="00DE08F1">
      <w:pPr>
        <w:numPr>
          <w:ilvl w:val="0"/>
          <w:numId w:val="3"/>
        </w:numPr>
        <w:tabs>
          <w:tab w:val="clear" w:pos="720"/>
          <w:tab w:val="num" w:pos="-4111"/>
          <w:tab w:val="left" w:pos="-2552"/>
        </w:tabs>
        <w:spacing w:before="120" w:after="0" w:line="240" w:lineRule="auto"/>
        <w:ind w:left="283" w:hanging="357"/>
        <w:jc w:val="both"/>
        <w:rPr>
          <w:rFonts w:ascii="Arial" w:hAnsi="Arial" w:cs="Arial"/>
          <w:sz w:val="16"/>
          <w:szCs w:val="16"/>
        </w:rPr>
      </w:pPr>
      <w:r w:rsidRPr="007F7331">
        <w:rPr>
          <w:rFonts w:ascii="Arial" w:hAnsi="Arial" w:cs="Arial"/>
          <w:sz w:val="16"/>
          <w:szCs w:val="16"/>
        </w:rPr>
        <w:t>Všechna odběrná</w:t>
      </w:r>
      <w:r w:rsidRPr="00DE08F1">
        <w:rPr>
          <w:rFonts w:ascii="Arial" w:hAnsi="Arial" w:cs="Arial"/>
          <w:sz w:val="16"/>
          <w:szCs w:val="16"/>
        </w:rPr>
        <w:t xml:space="preserve"> místa jsou napojená na místní síť ve vlastnictví SMP Net, s.r.o, IČ: 27768961.</w:t>
      </w:r>
    </w:p>
    <w:p w14:paraId="353E880A" w14:textId="791985E7" w:rsidR="00DE08F1" w:rsidRPr="00DE08F1" w:rsidRDefault="00DE08F1" w:rsidP="00DE08F1">
      <w:pPr>
        <w:numPr>
          <w:ilvl w:val="0"/>
          <w:numId w:val="3"/>
        </w:numPr>
        <w:tabs>
          <w:tab w:val="clear" w:pos="720"/>
          <w:tab w:val="num" w:pos="-4111"/>
          <w:tab w:val="left" w:pos="-2552"/>
        </w:tabs>
        <w:spacing w:before="120" w:after="0" w:line="240" w:lineRule="auto"/>
        <w:ind w:left="283" w:hanging="357"/>
        <w:jc w:val="both"/>
        <w:rPr>
          <w:rFonts w:ascii="Arial" w:hAnsi="Arial" w:cs="Arial"/>
          <w:sz w:val="16"/>
          <w:szCs w:val="16"/>
        </w:rPr>
      </w:pPr>
      <w:r w:rsidRPr="00DE08F1">
        <w:rPr>
          <w:rFonts w:ascii="Arial" w:hAnsi="Arial" w:cs="Arial"/>
          <w:sz w:val="16"/>
          <w:szCs w:val="16"/>
        </w:rPr>
        <w:t xml:space="preserve">Z důvodu provozních potřeb se může v průběhu smluvního období počet odběrných míst změnit, a to jak zrušením, tak zřízením nových. </w:t>
      </w:r>
      <w:r w:rsidR="0003284E">
        <w:rPr>
          <w:rFonts w:ascii="Arial" w:hAnsi="Arial" w:cs="Arial"/>
          <w:sz w:val="16"/>
          <w:szCs w:val="16"/>
        </w:rPr>
        <w:t>Dodavatel</w:t>
      </w:r>
      <w:r w:rsidRPr="00DE08F1">
        <w:rPr>
          <w:rFonts w:ascii="Arial" w:hAnsi="Arial" w:cs="Arial"/>
          <w:sz w:val="16"/>
          <w:szCs w:val="16"/>
        </w:rPr>
        <w:t xml:space="preserve"> i pro tyto případy </w:t>
      </w:r>
      <w:r w:rsidR="008E4840">
        <w:rPr>
          <w:rFonts w:ascii="Arial" w:hAnsi="Arial" w:cs="Arial"/>
          <w:sz w:val="16"/>
          <w:szCs w:val="16"/>
        </w:rPr>
        <w:t>Odběrateli</w:t>
      </w:r>
      <w:r w:rsidRPr="00DE08F1">
        <w:rPr>
          <w:rFonts w:ascii="Arial" w:hAnsi="Arial" w:cs="Arial"/>
          <w:sz w:val="16"/>
          <w:szCs w:val="16"/>
        </w:rPr>
        <w:t xml:space="preserve"> garantuje nabídkovou cenu dle čl. III</w:t>
      </w:r>
      <w:r w:rsidR="00FB22FF">
        <w:rPr>
          <w:rFonts w:ascii="Arial" w:hAnsi="Arial" w:cs="Arial"/>
          <w:sz w:val="16"/>
          <w:szCs w:val="16"/>
        </w:rPr>
        <w:t xml:space="preserve"> smlouvy</w:t>
      </w:r>
      <w:r w:rsidRPr="00DE08F1">
        <w:rPr>
          <w:rFonts w:ascii="Arial" w:hAnsi="Arial" w:cs="Arial"/>
          <w:sz w:val="16"/>
          <w:szCs w:val="16"/>
        </w:rPr>
        <w:t xml:space="preserve">. Dojde-li změnou počtu odběrných míst k potřebě zvýšení odebíraného plynu, je </w:t>
      </w:r>
      <w:r w:rsidR="008E4840">
        <w:rPr>
          <w:rFonts w:ascii="Arial" w:hAnsi="Arial" w:cs="Arial"/>
          <w:sz w:val="16"/>
          <w:szCs w:val="16"/>
        </w:rPr>
        <w:t xml:space="preserve">Odběratel </w:t>
      </w:r>
      <w:r w:rsidRPr="00DE08F1">
        <w:rPr>
          <w:rFonts w:ascii="Arial" w:hAnsi="Arial" w:cs="Arial"/>
          <w:sz w:val="16"/>
          <w:szCs w:val="16"/>
        </w:rPr>
        <w:t>oprávněn využít opčního práva podle ustanovení § 99 zákona č.137/2006 Sb., o veřejných zakázkách, v platném znění. Opční právo je</w:t>
      </w:r>
      <w:r w:rsidR="008E4840">
        <w:rPr>
          <w:rFonts w:ascii="Arial" w:hAnsi="Arial" w:cs="Arial"/>
          <w:sz w:val="16"/>
          <w:szCs w:val="16"/>
        </w:rPr>
        <w:t xml:space="preserve"> Odběrateli</w:t>
      </w:r>
      <w:r w:rsidRPr="00DE08F1">
        <w:rPr>
          <w:rFonts w:ascii="Arial" w:hAnsi="Arial" w:cs="Arial"/>
          <w:sz w:val="16"/>
          <w:szCs w:val="16"/>
        </w:rPr>
        <w:t xml:space="preserve"> oprávněn využít po dobu platnosti a účinnosti smlouvy, tj. do 31.</w:t>
      </w:r>
      <w:r w:rsidR="005B0BBD">
        <w:rPr>
          <w:rFonts w:ascii="Arial" w:hAnsi="Arial" w:cs="Arial"/>
          <w:sz w:val="16"/>
          <w:szCs w:val="16"/>
        </w:rPr>
        <w:t xml:space="preserve"> </w:t>
      </w:r>
      <w:r w:rsidRPr="00DE08F1">
        <w:rPr>
          <w:rFonts w:ascii="Arial" w:hAnsi="Arial" w:cs="Arial"/>
          <w:sz w:val="16"/>
          <w:szCs w:val="16"/>
        </w:rPr>
        <w:t>12.</w:t>
      </w:r>
      <w:r w:rsidR="005B0BBD">
        <w:rPr>
          <w:rFonts w:ascii="Arial" w:hAnsi="Arial" w:cs="Arial"/>
          <w:sz w:val="16"/>
          <w:szCs w:val="16"/>
        </w:rPr>
        <w:t xml:space="preserve"> </w:t>
      </w:r>
      <w:r w:rsidRPr="00DE08F1">
        <w:rPr>
          <w:rFonts w:ascii="Arial" w:hAnsi="Arial" w:cs="Arial"/>
          <w:sz w:val="16"/>
          <w:szCs w:val="16"/>
        </w:rPr>
        <w:t xml:space="preserve">2015.  V případě, že </w:t>
      </w:r>
      <w:r w:rsidR="008E4840">
        <w:rPr>
          <w:rFonts w:ascii="Arial" w:hAnsi="Arial" w:cs="Arial"/>
          <w:sz w:val="16"/>
          <w:szCs w:val="16"/>
        </w:rPr>
        <w:t xml:space="preserve">Odběratel </w:t>
      </w:r>
      <w:r w:rsidRPr="00DE08F1">
        <w:rPr>
          <w:rFonts w:ascii="Arial" w:hAnsi="Arial" w:cs="Arial"/>
          <w:sz w:val="16"/>
          <w:szCs w:val="16"/>
        </w:rPr>
        <w:t>využije tohoto opčního práva, proběhne v této věci jednání podle § 23 zákona č. 137/2006 Sb. o veřejných zakázkách, v platném znění.</w:t>
      </w:r>
    </w:p>
    <w:p w14:paraId="3AF5C033" w14:textId="77777777" w:rsidR="00DE08F1" w:rsidRPr="00DE08F1" w:rsidRDefault="00DE08F1" w:rsidP="00DE08F1">
      <w:pPr>
        <w:pStyle w:val="Nadpis7"/>
        <w:rPr>
          <w:rFonts w:ascii="Arial" w:hAnsi="Arial" w:cs="Arial"/>
          <w:sz w:val="16"/>
          <w:szCs w:val="16"/>
        </w:rPr>
      </w:pPr>
      <w:r w:rsidRPr="00DE08F1">
        <w:rPr>
          <w:rFonts w:ascii="Arial" w:hAnsi="Arial" w:cs="Arial"/>
          <w:sz w:val="16"/>
          <w:szCs w:val="16"/>
        </w:rPr>
        <w:t>II. Množství a časový režim plnění</w:t>
      </w:r>
    </w:p>
    <w:p w14:paraId="00DB32D5" w14:textId="32A7DA0C" w:rsidR="00DE08F1" w:rsidRPr="00DE08F1" w:rsidRDefault="008C71A3" w:rsidP="007F7331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7331">
        <w:rPr>
          <w:rFonts w:ascii="Arial" w:hAnsi="Arial" w:cs="Arial"/>
          <w:sz w:val="16"/>
          <w:szCs w:val="16"/>
        </w:rPr>
        <w:t>1.</w:t>
      </w:r>
      <w:r w:rsidR="007F7331">
        <w:rPr>
          <w:rFonts w:ascii="Arial" w:hAnsi="Arial" w:cs="Arial"/>
          <w:sz w:val="16"/>
          <w:szCs w:val="16"/>
        </w:rPr>
        <w:tab/>
      </w:r>
      <w:r w:rsidR="00DE08F1" w:rsidRPr="00DE08F1">
        <w:rPr>
          <w:rFonts w:ascii="Arial" w:hAnsi="Arial" w:cs="Arial"/>
          <w:sz w:val="16"/>
          <w:szCs w:val="16"/>
        </w:rPr>
        <w:t xml:space="preserve">Celkové plánované množství na </w:t>
      </w:r>
      <w:r w:rsidR="00DE08F1" w:rsidRPr="001325F3">
        <w:rPr>
          <w:rFonts w:ascii="Arial" w:hAnsi="Arial" w:cs="Arial"/>
          <w:sz w:val="16"/>
          <w:szCs w:val="16"/>
        </w:rPr>
        <w:t>rok 201</w:t>
      </w:r>
      <w:r w:rsidR="00EF1AEC" w:rsidRPr="001325F3">
        <w:rPr>
          <w:rFonts w:ascii="Arial" w:hAnsi="Arial" w:cs="Arial"/>
          <w:sz w:val="16"/>
          <w:szCs w:val="16"/>
        </w:rPr>
        <w:t>6</w:t>
      </w:r>
      <w:r w:rsidR="00DE08F1" w:rsidRPr="001325F3">
        <w:rPr>
          <w:rFonts w:ascii="Arial" w:hAnsi="Arial" w:cs="Arial"/>
          <w:sz w:val="16"/>
          <w:szCs w:val="16"/>
        </w:rPr>
        <w:t xml:space="preserve"> činí 150,0 MWh</w:t>
      </w:r>
      <w:r w:rsidR="00DE08F1" w:rsidRPr="00DE08F1">
        <w:rPr>
          <w:rFonts w:ascii="Arial" w:hAnsi="Arial" w:cs="Arial"/>
          <w:sz w:val="16"/>
          <w:szCs w:val="16"/>
        </w:rPr>
        <w:t xml:space="preserve">. Termín dodávky na rok </w:t>
      </w:r>
      <w:r w:rsidR="00DE08F1" w:rsidRPr="008D75C3">
        <w:rPr>
          <w:rFonts w:ascii="Arial" w:hAnsi="Arial" w:cs="Arial"/>
          <w:sz w:val="16"/>
          <w:szCs w:val="16"/>
        </w:rPr>
        <w:t>201</w:t>
      </w:r>
      <w:r w:rsidR="00EF1AEC" w:rsidRPr="008D75C3">
        <w:rPr>
          <w:rFonts w:ascii="Arial" w:hAnsi="Arial" w:cs="Arial"/>
          <w:sz w:val="16"/>
          <w:szCs w:val="16"/>
        </w:rPr>
        <w:t>6</w:t>
      </w:r>
      <w:r w:rsidR="00DE08F1" w:rsidRPr="008D75C3">
        <w:rPr>
          <w:rFonts w:ascii="Arial" w:hAnsi="Arial" w:cs="Arial"/>
          <w:sz w:val="16"/>
          <w:szCs w:val="16"/>
        </w:rPr>
        <w:t xml:space="preserve"> začíná dne 1.</w:t>
      </w:r>
      <w:r w:rsidR="005B0BBD" w:rsidRPr="008D75C3">
        <w:rPr>
          <w:rFonts w:ascii="Arial" w:hAnsi="Arial" w:cs="Arial"/>
          <w:sz w:val="16"/>
          <w:szCs w:val="16"/>
        </w:rPr>
        <w:t xml:space="preserve"> </w:t>
      </w:r>
      <w:r w:rsidR="00DE08F1" w:rsidRPr="008D75C3">
        <w:rPr>
          <w:rFonts w:ascii="Arial" w:hAnsi="Arial" w:cs="Arial"/>
          <w:sz w:val="16"/>
          <w:szCs w:val="16"/>
        </w:rPr>
        <w:t>1.</w:t>
      </w:r>
      <w:r w:rsidR="005B0BBD" w:rsidRPr="008D75C3">
        <w:rPr>
          <w:rFonts w:ascii="Arial" w:hAnsi="Arial" w:cs="Arial"/>
          <w:sz w:val="16"/>
          <w:szCs w:val="16"/>
        </w:rPr>
        <w:t xml:space="preserve"> </w:t>
      </w:r>
      <w:r w:rsidR="00DE08F1" w:rsidRPr="008D75C3">
        <w:rPr>
          <w:rFonts w:ascii="Arial" w:hAnsi="Arial" w:cs="Arial"/>
          <w:sz w:val="16"/>
          <w:szCs w:val="16"/>
        </w:rPr>
        <w:t>201</w:t>
      </w:r>
      <w:r w:rsidR="00EF1AEC" w:rsidRPr="008D75C3">
        <w:rPr>
          <w:rFonts w:ascii="Arial" w:hAnsi="Arial" w:cs="Arial"/>
          <w:sz w:val="16"/>
          <w:szCs w:val="16"/>
        </w:rPr>
        <w:t>6</w:t>
      </w:r>
      <w:r w:rsidR="00DE08F1" w:rsidRPr="008D75C3">
        <w:rPr>
          <w:rFonts w:ascii="Arial" w:hAnsi="Arial" w:cs="Arial"/>
          <w:sz w:val="16"/>
          <w:szCs w:val="16"/>
        </w:rPr>
        <w:t xml:space="preserve"> od 06:00:00 hodin a končí 01.</w:t>
      </w:r>
      <w:r w:rsidR="005B0BBD" w:rsidRPr="008D75C3">
        <w:rPr>
          <w:rFonts w:ascii="Arial" w:hAnsi="Arial" w:cs="Arial"/>
          <w:sz w:val="16"/>
          <w:szCs w:val="16"/>
        </w:rPr>
        <w:t xml:space="preserve"> </w:t>
      </w:r>
      <w:r w:rsidR="00DE08F1" w:rsidRPr="008D75C3">
        <w:rPr>
          <w:rFonts w:ascii="Arial" w:hAnsi="Arial" w:cs="Arial"/>
          <w:sz w:val="16"/>
          <w:szCs w:val="16"/>
        </w:rPr>
        <w:t>01.</w:t>
      </w:r>
      <w:r w:rsidR="005B0BBD" w:rsidRPr="008D75C3">
        <w:rPr>
          <w:rFonts w:ascii="Arial" w:hAnsi="Arial" w:cs="Arial"/>
          <w:sz w:val="16"/>
          <w:szCs w:val="16"/>
        </w:rPr>
        <w:t xml:space="preserve"> </w:t>
      </w:r>
      <w:r w:rsidR="00DE08F1" w:rsidRPr="008D75C3">
        <w:rPr>
          <w:rFonts w:ascii="Arial" w:hAnsi="Arial" w:cs="Arial"/>
          <w:sz w:val="16"/>
          <w:szCs w:val="16"/>
        </w:rPr>
        <w:t>201</w:t>
      </w:r>
      <w:r w:rsidR="00EF1AEC" w:rsidRPr="008D75C3">
        <w:rPr>
          <w:rFonts w:ascii="Arial" w:hAnsi="Arial" w:cs="Arial"/>
          <w:sz w:val="16"/>
          <w:szCs w:val="16"/>
        </w:rPr>
        <w:t>7</w:t>
      </w:r>
      <w:r w:rsidR="00DE08F1" w:rsidRPr="008D75C3">
        <w:rPr>
          <w:rFonts w:ascii="Arial" w:hAnsi="Arial" w:cs="Arial"/>
          <w:sz w:val="16"/>
          <w:szCs w:val="16"/>
        </w:rPr>
        <w:t xml:space="preserve"> v 06:00:00 ho</w:t>
      </w:r>
      <w:r w:rsidR="00DE08F1" w:rsidRPr="00DE08F1">
        <w:rPr>
          <w:rFonts w:ascii="Arial" w:hAnsi="Arial" w:cs="Arial"/>
          <w:sz w:val="16"/>
          <w:szCs w:val="16"/>
        </w:rPr>
        <w:t xml:space="preserve">din. Plánované množství pro jednotlivá odběrná místa včetně </w:t>
      </w:r>
      <w:r w:rsidR="0003284E">
        <w:rPr>
          <w:rFonts w:ascii="Arial" w:hAnsi="Arial" w:cs="Arial"/>
          <w:sz w:val="16"/>
          <w:szCs w:val="16"/>
        </w:rPr>
        <w:t>rezervované kapacity</w:t>
      </w:r>
      <w:r w:rsidR="00DE08F1" w:rsidRPr="00DE08F1">
        <w:rPr>
          <w:rFonts w:ascii="Arial" w:hAnsi="Arial" w:cs="Arial"/>
          <w:sz w:val="16"/>
          <w:szCs w:val="16"/>
        </w:rPr>
        <w:t xml:space="preserve"> je uvedeno v </w:t>
      </w:r>
      <w:proofErr w:type="gramStart"/>
      <w:r w:rsidR="00DE08F1" w:rsidRPr="00DE08F1">
        <w:rPr>
          <w:rFonts w:ascii="Arial" w:hAnsi="Arial" w:cs="Arial"/>
          <w:sz w:val="16"/>
          <w:szCs w:val="16"/>
        </w:rPr>
        <w:t>čl. I.1.</w:t>
      </w:r>
      <w:r>
        <w:rPr>
          <w:rFonts w:ascii="Arial" w:hAnsi="Arial" w:cs="Arial"/>
          <w:sz w:val="16"/>
          <w:szCs w:val="16"/>
        </w:rPr>
        <w:t>a</w:t>
      </w:r>
      <w:r w:rsidR="007F7331">
        <w:rPr>
          <w:rFonts w:ascii="Arial" w:hAnsi="Arial" w:cs="Arial"/>
          <w:sz w:val="16"/>
          <w:szCs w:val="16"/>
        </w:rPr>
        <w:t>)</w:t>
      </w:r>
      <w:r w:rsidR="00DE08F1" w:rsidRPr="00DE08F1">
        <w:rPr>
          <w:rFonts w:ascii="Arial" w:hAnsi="Arial" w:cs="Arial"/>
          <w:sz w:val="16"/>
          <w:szCs w:val="16"/>
        </w:rPr>
        <w:t>.</w:t>
      </w:r>
      <w:proofErr w:type="gramEnd"/>
      <w:r w:rsidR="00DE08F1" w:rsidRPr="00DE08F1">
        <w:rPr>
          <w:rFonts w:ascii="Arial" w:hAnsi="Arial" w:cs="Arial"/>
          <w:sz w:val="16"/>
          <w:szCs w:val="16"/>
        </w:rPr>
        <w:t xml:space="preserve"> </w:t>
      </w:r>
    </w:p>
    <w:p w14:paraId="7439C1BC" w14:textId="77777777" w:rsidR="00DE08F1" w:rsidRPr="00DE08F1" w:rsidRDefault="008C71A3" w:rsidP="007F7331">
      <w:pPr>
        <w:tabs>
          <w:tab w:val="num" w:pos="284"/>
        </w:tabs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7F7331">
        <w:rPr>
          <w:rFonts w:ascii="Arial" w:hAnsi="Arial" w:cs="Arial"/>
          <w:sz w:val="16"/>
          <w:szCs w:val="16"/>
        </w:rPr>
        <w:tab/>
      </w:r>
      <w:r w:rsidR="00DE08F1" w:rsidRPr="00DE08F1">
        <w:rPr>
          <w:rFonts w:ascii="Arial" w:hAnsi="Arial" w:cs="Arial"/>
          <w:sz w:val="16"/>
          <w:szCs w:val="16"/>
        </w:rPr>
        <w:t>U tohoto odběru nebude sjednáván diagram, ani nebude uplatňována odchylka.</w:t>
      </w:r>
    </w:p>
    <w:p w14:paraId="66CA3784" w14:textId="77777777" w:rsidR="00DE08F1" w:rsidRDefault="008C71A3" w:rsidP="007F7331">
      <w:pPr>
        <w:tabs>
          <w:tab w:val="num" w:pos="284"/>
        </w:tabs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="007F7331">
        <w:rPr>
          <w:rFonts w:ascii="Arial" w:hAnsi="Arial" w:cs="Arial"/>
          <w:sz w:val="16"/>
          <w:szCs w:val="16"/>
        </w:rPr>
        <w:tab/>
      </w:r>
      <w:r w:rsidR="00DE08F1" w:rsidRPr="00DE08F1">
        <w:rPr>
          <w:rFonts w:ascii="Arial" w:hAnsi="Arial" w:cs="Arial"/>
          <w:sz w:val="16"/>
          <w:szCs w:val="16"/>
        </w:rPr>
        <w:t>K počátku a ukončení smluvního období dodávky bude proveden odečet konečných stavů.</w:t>
      </w:r>
    </w:p>
    <w:p w14:paraId="76C0AFD2" w14:textId="77777777" w:rsidR="005B0BBD" w:rsidRPr="00DE08F1" w:rsidRDefault="005B0BBD" w:rsidP="007F7331">
      <w:pPr>
        <w:tabs>
          <w:tab w:val="num" w:pos="284"/>
        </w:tabs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14:paraId="59260891" w14:textId="77777777" w:rsidR="00DE08F1" w:rsidRDefault="00DE08F1" w:rsidP="00DE08F1">
      <w:pPr>
        <w:pStyle w:val="Nzevlnku"/>
        <w:spacing w:before="120"/>
        <w:jc w:val="center"/>
        <w:rPr>
          <w:sz w:val="16"/>
          <w:szCs w:val="16"/>
        </w:rPr>
      </w:pPr>
      <w:r w:rsidRPr="00DE08F1">
        <w:rPr>
          <w:sz w:val="16"/>
          <w:szCs w:val="16"/>
        </w:rPr>
        <w:t>III. Měření dodávky a předávání naměřených hodnot</w:t>
      </w:r>
    </w:p>
    <w:p w14:paraId="2323977E" w14:textId="70D8AFF3" w:rsidR="00DE08F1" w:rsidRPr="00DE08F1" w:rsidRDefault="00DE08F1" w:rsidP="005B0BBD">
      <w:pPr>
        <w:pStyle w:val="Zkladntextodsazen3"/>
        <w:numPr>
          <w:ilvl w:val="0"/>
          <w:numId w:val="7"/>
        </w:numPr>
        <w:tabs>
          <w:tab w:val="clear" w:pos="720"/>
          <w:tab w:val="num" w:pos="284"/>
        </w:tabs>
        <w:spacing w:after="0"/>
        <w:ind w:hanging="720"/>
        <w:jc w:val="both"/>
        <w:rPr>
          <w:rFonts w:cs="Arial"/>
        </w:rPr>
      </w:pPr>
      <w:r w:rsidRPr="00DE08F1">
        <w:rPr>
          <w:rFonts w:cs="Arial"/>
        </w:rPr>
        <w:t xml:space="preserve">Dodávka plynu dle </w:t>
      </w:r>
      <w:proofErr w:type="gramStart"/>
      <w:r w:rsidRPr="00DE08F1">
        <w:rPr>
          <w:rFonts w:cs="Arial"/>
        </w:rPr>
        <w:t>bodu I.1.</w:t>
      </w:r>
      <w:r w:rsidR="008E4840">
        <w:rPr>
          <w:rFonts w:cs="Arial"/>
        </w:rPr>
        <w:t>a</w:t>
      </w:r>
      <w:r w:rsidRPr="00DE08F1">
        <w:rPr>
          <w:rFonts w:cs="Arial"/>
        </w:rPr>
        <w:t xml:space="preserve">) </w:t>
      </w:r>
      <w:r w:rsidR="0003284E">
        <w:rPr>
          <w:rFonts w:cs="Arial"/>
        </w:rPr>
        <w:t>této</w:t>
      </w:r>
      <w:proofErr w:type="gramEnd"/>
      <w:r w:rsidR="0003284E">
        <w:rPr>
          <w:rFonts w:cs="Arial"/>
        </w:rPr>
        <w:t xml:space="preserve"> přílohy </w:t>
      </w:r>
      <w:r w:rsidRPr="00DE08F1">
        <w:rPr>
          <w:rFonts w:cs="Arial"/>
        </w:rPr>
        <w:t>je měřena nepřetržitě objemovými měřidly průtoku v m</w:t>
      </w:r>
      <w:r w:rsidRPr="00DE08F1">
        <w:rPr>
          <w:rFonts w:cs="Arial"/>
          <w:vertAlign w:val="superscript"/>
        </w:rPr>
        <w:t>3</w:t>
      </w:r>
      <w:r w:rsidRPr="00DE08F1">
        <w:rPr>
          <w:rFonts w:cs="Arial"/>
        </w:rPr>
        <w:t xml:space="preserve">. </w:t>
      </w:r>
    </w:p>
    <w:p w14:paraId="27777712" w14:textId="77777777" w:rsidR="00DE08F1" w:rsidRPr="00DE08F1" w:rsidRDefault="00DE08F1" w:rsidP="00DE08F1">
      <w:pPr>
        <w:pStyle w:val="Zkladntextodsazen3"/>
        <w:spacing w:line="240" w:lineRule="atLeast"/>
        <w:ind w:left="720"/>
        <w:jc w:val="both"/>
        <w:rPr>
          <w:rFonts w:cs="Arial"/>
        </w:rPr>
      </w:pPr>
    </w:p>
    <w:p w14:paraId="2D1FAD28" w14:textId="77777777" w:rsidR="00DE08F1" w:rsidRPr="00DE08F1" w:rsidRDefault="00DE08F1" w:rsidP="00DE08F1">
      <w:pPr>
        <w:pStyle w:val="Nzevlnku"/>
        <w:spacing w:before="0"/>
        <w:ind w:left="720"/>
        <w:jc w:val="center"/>
        <w:rPr>
          <w:sz w:val="16"/>
          <w:szCs w:val="16"/>
        </w:rPr>
      </w:pPr>
      <w:r w:rsidRPr="00DE08F1">
        <w:rPr>
          <w:sz w:val="16"/>
          <w:szCs w:val="16"/>
        </w:rPr>
        <w:t xml:space="preserve">IV. Zvláštní ujednání </w:t>
      </w:r>
    </w:p>
    <w:p w14:paraId="3342932D" w14:textId="43E2FE87" w:rsidR="00DE08F1" w:rsidRDefault="00DE3C1D" w:rsidP="00626AE5">
      <w:pPr>
        <w:spacing w:after="0"/>
        <w:jc w:val="both"/>
        <w:rPr>
          <w:rFonts w:ascii="Arial" w:hAnsi="Arial" w:cs="Arial"/>
          <w:sz w:val="16"/>
          <w:szCs w:val="16"/>
        </w:rPr>
      </w:pPr>
      <w:r w:rsidRPr="0003284E">
        <w:rPr>
          <w:rFonts w:ascii="Arial" w:hAnsi="Arial"/>
          <w:sz w:val="16"/>
        </w:rPr>
        <w:t>Dodavatel</w:t>
      </w:r>
      <w:r w:rsidR="00DE08F1" w:rsidRPr="0003284E">
        <w:rPr>
          <w:rFonts w:ascii="Arial" w:hAnsi="Arial" w:cs="Arial"/>
          <w:sz w:val="16"/>
          <w:szCs w:val="16"/>
        </w:rPr>
        <w:t xml:space="preserve"> bere</w:t>
      </w:r>
      <w:r w:rsidR="00DE08F1" w:rsidRPr="00DE08F1">
        <w:rPr>
          <w:rFonts w:ascii="Arial" w:hAnsi="Arial" w:cs="Arial"/>
          <w:sz w:val="16"/>
          <w:szCs w:val="16"/>
        </w:rPr>
        <w:t xml:space="preserve"> na vědomí, že Dopravní podnik Ostrava a.s. podléhá režimu zákona č. 106/1999 Sb., o svobodném přístupu k informacím v platném znění</w:t>
      </w:r>
      <w:r w:rsidR="00E24C55">
        <w:rPr>
          <w:rFonts w:ascii="Arial" w:hAnsi="Arial" w:cs="Arial"/>
          <w:sz w:val="16"/>
          <w:szCs w:val="16"/>
        </w:rPr>
        <w:t>, a že je oprávněn obsah smlouvy a případných dodatků zveřejnit na svých internetových stránkách.</w:t>
      </w:r>
    </w:p>
    <w:p w14:paraId="1C14EF4E" w14:textId="77777777" w:rsidR="00626AE5" w:rsidRPr="00DE08F1" w:rsidRDefault="00626AE5" w:rsidP="00626AE5">
      <w:pPr>
        <w:spacing w:after="0"/>
        <w:rPr>
          <w:rFonts w:ascii="Arial" w:hAnsi="Arial" w:cs="Arial"/>
          <w:bCs/>
          <w:color w:val="000000"/>
          <w:sz w:val="16"/>
          <w:szCs w:val="16"/>
        </w:rPr>
      </w:pPr>
      <w:r w:rsidRPr="00DE08F1">
        <w:rPr>
          <w:rFonts w:ascii="Arial" w:hAnsi="Arial" w:cs="Arial"/>
          <w:bCs/>
          <w:color w:val="000000"/>
          <w:sz w:val="16"/>
          <w:szCs w:val="16"/>
        </w:rPr>
        <w:t>Práva a povinnosti vyplývající ze  smlouvy přecházejí i na právní nástupce obou smluvních stran</w:t>
      </w:r>
    </w:p>
    <w:p w14:paraId="6A2D4186" w14:textId="77777777" w:rsidR="00626AE5" w:rsidRPr="00DE08F1" w:rsidRDefault="00626AE5" w:rsidP="00DE08F1">
      <w:pPr>
        <w:jc w:val="both"/>
        <w:rPr>
          <w:rFonts w:ascii="Arial" w:hAnsi="Arial" w:cs="Arial"/>
          <w:sz w:val="16"/>
          <w:szCs w:val="16"/>
        </w:rPr>
      </w:pPr>
    </w:p>
    <w:p w14:paraId="6537A8BD" w14:textId="77777777" w:rsidR="00DE08F1" w:rsidRPr="00DE08F1" w:rsidRDefault="00DE08F1" w:rsidP="00DE08F1">
      <w:pPr>
        <w:pStyle w:val="Nzevlnku"/>
        <w:spacing w:before="0"/>
        <w:jc w:val="center"/>
        <w:rPr>
          <w:sz w:val="16"/>
          <w:szCs w:val="16"/>
        </w:rPr>
      </w:pPr>
      <w:r w:rsidRPr="00DE08F1">
        <w:rPr>
          <w:sz w:val="16"/>
          <w:szCs w:val="16"/>
        </w:rPr>
        <w:t xml:space="preserve">V. Jména a telefonní kontakty pověřených </w:t>
      </w:r>
      <w:r w:rsidR="005B0BBD">
        <w:rPr>
          <w:sz w:val="16"/>
          <w:szCs w:val="16"/>
        </w:rPr>
        <w:t>osob</w:t>
      </w:r>
    </w:p>
    <w:p w14:paraId="23514C8E" w14:textId="77777777" w:rsidR="00DE08F1" w:rsidRPr="00DE08F1" w:rsidRDefault="00DE08F1" w:rsidP="00626AE5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DE08F1">
        <w:rPr>
          <w:rFonts w:ascii="Arial" w:hAnsi="Arial" w:cs="Arial"/>
          <w:sz w:val="16"/>
          <w:szCs w:val="16"/>
          <w:u w:val="single"/>
        </w:rPr>
        <w:t>Dopravní podnik Ostrava a.s.:</w:t>
      </w:r>
    </w:p>
    <w:p w14:paraId="00F29AAA" w14:textId="77777777" w:rsidR="00DE08F1" w:rsidRPr="00DE08F1" w:rsidRDefault="00DE08F1" w:rsidP="00626AE5">
      <w:pPr>
        <w:spacing w:after="0"/>
        <w:jc w:val="both"/>
        <w:rPr>
          <w:rFonts w:ascii="Arial" w:hAnsi="Arial" w:cs="Arial"/>
          <w:sz w:val="16"/>
          <w:szCs w:val="16"/>
        </w:rPr>
      </w:pPr>
      <w:r w:rsidRPr="00DE08F1">
        <w:rPr>
          <w:rFonts w:ascii="Arial" w:hAnsi="Arial" w:cs="Arial"/>
          <w:sz w:val="16"/>
          <w:szCs w:val="16"/>
        </w:rPr>
        <w:t xml:space="preserve">Ve věcech smluvních: </w:t>
      </w:r>
    </w:p>
    <w:p w14:paraId="76240C46" w14:textId="77777777" w:rsidR="00DE08F1" w:rsidRPr="00DE08F1" w:rsidRDefault="00DE08F1" w:rsidP="00626AE5">
      <w:pPr>
        <w:spacing w:after="0"/>
        <w:jc w:val="both"/>
        <w:rPr>
          <w:rFonts w:ascii="Arial" w:hAnsi="Arial" w:cs="Arial"/>
          <w:sz w:val="16"/>
          <w:szCs w:val="16"/>
        </w:rPr>
      </w:pPr>
      <w:r w:rsidRPr="00DE08F1">
        <w:rPr>
          <w:rFonts w:ascii="Arial" w:hAnsi="Arial" w:cs="Arial"/>
          <w:sz w:val="16"/>
          <w:szCs w:val="16"/>
        </w:rPr>
        <w:t xml:space="preserve">Ing. Jiří Plaček, Tel.: 597 401 320, Fax: 597 401 095, E-mail: </w:t>
      </w:r>
      <w:hyperlink r:id="rId6" w:history="1">
        <w:r w:rsidRPr="00DE08F1">
          <w:rPr>
            <w:rStyle w:val="Hypertextovodkaz"/>
            <w:rFonts w:ascii="Arial" w:hAnsi="Arial" w:cs="Arial"/>
            <w:sz w:val="16"/>
            <w:szCs w:val="16"/>
          </w:rPr>
          <w:t>jplacek@dpo.cz</w:t>
        </w:r>
      </w:hyperlink>
      <w:r w:rsidRPr="00DE08F1">
        <w:rPr>
          <w:rFonts w:ascii="Arial" w:hAnsi="Arial" w:cs="Arial"/>
          <w:sz w:val="16"/>
          <w:szCs w:val="16"/>
        </w:rPr>
        <w:t xml:space="preserve"> </w:t>
      </w:r>
    </w:p>
    <w:p w14:paraId="5FF7D330" w14:textId="77777777" w:rsidR="00DE08F1" w:rsidRPr="00DE08F1" w:rsidRDefault="00DE08F1" w:rsidP="00626AE5">
      <w:pPr>
        <w:spacing w:after="0"/>
        <w:jc w:val="both"/>
        <w:rPr>
          <w:rFonts w:ascii="Arial" w:hAnsi="Arial" w:cs="Arial"/>
          <w:sz w:val="16"/>
          <w:szCs w:val="16"/>
        </w:rPr>
      </w:pPr>
      <w:r w:rsidRPr="00DE08F1">
        <w:rPr>
          <w:rFonts w:ascii="Arial" w:hAnsi="Arial" w:cs="Arial"/>
          <w:sz w:val="16"/>
          <w:szCs w:val="16"/>
        </w:rPr>
        <w:t xml:space="preserve">Ve věcech technických: </w:t>
      </w:r>
    </w:p>
    <w:p w14:paraId="416DC442" w14:textId="77777777" w:rsidR="00DE08F1" w:rsidRPr="00DE08F1" w:rsidRDefault="00E95AF2" w:rsidP="00626AE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Zbyněk </w:t>
      </w:r>
      <w:proofErr w:type="spellStart"/>
      <w:r>
        <w:rPr>
          <w:rFonts w:ascii="Arial" w:hAnsi="Arial" w:cs="Arial"/>
          <w:sz w:val="16"/>
          <w:szCs w:val="16"/>
        </w:rPr>
        <w:t>Majchrovský</w:t>
      </w:r>
      <w:proofErr w:type="spellEnd"/>
      <w:r w:rsidR="00DE08F1" w:rsidRPr="00DE08F1">
        <w:rPr>
          <w:rFonts w:ascii="Arial" w:hAnsi="Arial" w:cs="Arial"/>
          <w:sz w:val="16"/>
          <w:szCs w:val="16"/>
        </w:rPr>
        <w:t>, Tel.: 597 401 32</w:t>
      </w:r>
      <w:r>
        <w:rPr>
          <w:rFonts w:ascii="Arial" w:hAnsi="Arial" w:cs="Arial"/>
          <w:sz w:val="16"/>
          <w:szCs w:val="16"/>
        </w:rPr>
        <w:t>3</w:t>
      </w:r>
      <w:r w:rsidR="00DE08F1" w:rsidRPr="00DE08F1">
        <w:rPr>
          <w:rFonts w:ascii="Arial" w:hAnsi="Arial" w:cs="Arial"/>
          <w:sz w:val="16"/>
          <w:szCs w:val="16"/>
        </w:rPr>
        <w:t xml:space="preserve">, Fax: 597 401 095, E-mail: </w:t>
      </w:r>
      <w:hyperlink r:id="rId7" w:history="1">
        <w:r w:rsidRPr="00C12E1F">
          <w:rPr>
            <w:rStyle w:val="Hypertextovodkaz"/>
            <w:rFonts w:ascii="Arial" w:hAnsi="Arial" w:cs="Arial"/>
            <w:sz w:val="16"/>
            <w:szCs w:val="16"/>
          </w:rPr>
          <w:t>zmajchrovsky@dpo.cz</w:t>
        </w:r>
      </w:hyperlink>
      <w:r w:rsidR="00DE08F1" w:rsidRPr="00DE08F1">
        <w:rPr>
          <w:rFonts w:ascii="Arial" w:hAnsi="Arial" w:cs="Arial"/>
          <w:sz w:val="16"/>
          <w:szCs w:val="16"/>
        </w:rPr>
        <w:t xml:space="preserve"> </w:t>
      </w:r>
    </w:p>
    <w:p w14:paraId="2B0F006E" w14:textId="77777777" w:rsidR="00DE08F1" w:rsidRPr="00DE08F1" w:rsidRDefault="00DE08F1" w:rsidP="005B0BBD">
      <w:pPr>
        <w:spacing w:before="240" w:after="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DE08F1">
        <w:rPr>
          <w:rFonts w:ascii="Arial" w:hAnsi="Arial" w:cs="Arial"/>
          <w:b/>
          <w:sz w:val="16"/>
          <w:szCs w:val="16"/>
        </w:rPr>
        <w:t>Technická specifikace odběrných míst – plyn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01"/>
        <w:gridCol w:w="800"/>
        <w:gridCol w:w="542"/>
        <w:gridCol w:w="259"/>
        <w:gridCol w:w="800"/>
        <w:gridCol w:w="801"/>
        <w:gridCol w:w="800"/>
        <w:gridCol w:w="801"/>
        <w:gridCol w:w="800"/>
        <w:gridCol w:w="801"/>
        <w:gridCol w:w="800"/>
        <w:gridCol w:w="801"/>
      </w:tblGrid>
      <w:tr w:rsidR="00DE08F1" w:rsidRPr="00DE08F1" w14:paraId="78C75438" w14:textId="77777777" w:rsidTr="007F7331">
        <w:trPr>
          <w:trHeight w:val="261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79903760" w14:textId="77777777" w:rsidR="00DE08F1" w:rsidRPr="007F7331" w:rsidRDefault="00DE08F1" w:rsidP="007F733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F7331">
              <w:rPr>
                <w:rFonts w:ascii="Arial" w:hAnsi="Arial" w:cs="Arial"/>
                <w:sz w:val="16"/>
                <w:szCs w:val="16"/>
                <w:lang w:eastAsia="ar-SA"/>
              </w:rPr>
              <w:t xml:space="preserve">Adresa odběrného místa: 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14:paraId="2CA95FA7" w14:textId="77777777" w:rsidR="00DE08F1" w:rsidRPr="007F7331" w:rsidRDefault="00C15410" w:rsidP="007F73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Martinovská 3244/42, Ostrava</w:t>
            </w:r>
          </w:p>
        </w:tc>
      </w:tr>
      <w:tr w:rsidR="00DE08F1" w:rsidRPr="00DE08F1" w14:paraId="732B9383" w14:textId="77777777" w:rsidTr="007F7331">
        <w:trPr>
          <w:trHeight w:val="203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11F6DE49" w14:textId="77777777"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sz w:val="16"/>
                <w:szCs w:val="16"/>
                <w:lang w:eastAsia="ar-SA"/>
              </w:rPr>
              <w:t xml:space="preserve">číslo odběrného místa: 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14:paraId="46BA4666" w14:textId="77777777"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9300024357</w:t>
            </w:r>
          </w:p>
        </w:tc>
      </w:tr>
      <w:tr w:rsidR="00DE08F1" w:rsidRPr="00DE08F1" w14:paraId="3B6ACF0A" w14:textId="77777777" w:rsidTr="007F7331">
        <w:trPr>
          <w:trHeight w:val="340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69C70E56" w14:textId="77777777"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sz w:val="16"/>
                <w:szCs w:val="16"/>
                <w:lang w:eastAsia="ar-SA"/>
              </w:rPr>
              <w:t xml:space="preserve">EIC kód: 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14:paraId="147DDBED" w14:textId="77777777"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27ZG700Z0021139D</w:t>
            </w:r>
          </w:p>
        </w:tc>
      </w:tr>
      <w:tr w:rsidR="00DE08F1" w:rsidRPr="00DE08F1" w14:paraId="6E3E5B62" w14:textId="77777777" w:rsidTr="007F7331">
        <w:trPr>
          <w:trHeight w:val="340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0B959877" w14:textId="77777777"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sz w:val="16"/>
                <w:szCs w:val="16"/>
                <w:lang w:eastAsia="ar-SA"/>
              </w:rPr>
              <w:t xml:space="preserve">roční spotřeba cca 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14:paraId="0506BAF1" w14:textId="77777777" w:rsidR="00DE08F1" w:rsidRPr="001325F3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325F3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150 MWh/rok</w:t>
            </w:r>
          </w:p>
        </w:tc>
      </w:tr>
      <w:tr w:rsidR="00DE08F1" w:rsidRPr="00DE08F1" w14:paraId="5D1FAE0E" w14:textId="77777777" w:rsidTr="007F7331">
        <w:trPr>
          <w:trHeight w:val="340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6944A267" w14:textId="77777777"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sz w:val="16"/>
                <w:szCs w:val="16"/>
                <w:lang w:eastAsia="ar-SA"/>
              </w:rPr>
              <w:t>Denní rezervovaná kapacita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14:paraId="09174787" w14:textId="0CAA57BF" w:rsidR="00DE08F1" w:rsidRPr="001325F3" w:rsidRDefault="001325F3" w:rsidP="001325F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1325F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150 </w:t>
            </w:r>
            <w:r w:rsidR="00DE08F1" w:rsidRPr="001325F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m</w:t>
            </w:r>
            <w:r w:rsidR="00DE08F1" w:rsidRPr="001325F3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ar-SA"/>
              </w:rPr>
              <w:t>3</w:t>
            </w:r>
            <w:r w:rsidR="00DE08F1" w:rsidRPr="001325F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/den</w:t>
            </w:r>
          </w:p>
        </w:tc>
      </w:tr>
      <w:tr w:rsidR="00DE08F1" w:rsidRPr="00DE08F1" w14:paraId="1CBED42D" w14:textId="77777777" w:rsidTr="007F7331">
        <w:trPr>
          <w:trHeight w:val="340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236528C7" w14:textId="77777777"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sz w:val="16"/>
                <w:szCs w:val="16"/>
                <w:lang w:eastAsia="ar-SA"/>
              </w:rPr>
              <w:t xml:space="preserve">typ měření: 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14:paraId="7ADA1E06" w14:textId="77777777" w:rsidR="00DE08F1" w:rsidRPr="007F7331" w:rsidRDefault="00DE3C1D" w:rsidP="007F73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E08F1"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instrText xml:space="preserve"> FORMTEXT </w:instrText>
            </w: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</w: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fldChar w:fldCharType="separate"/>
            </w:r>
            <w:r w:rsidR="00DE08F1" w:rsidRPr="007F7331">
              <w:rPr>
                <w:rFonts w:ascii="Arial" w:hAnsi="Arial" w:cs="Arial"/>
                <w:b/>
                <w:noProof/>
                <w:sz w:val="16"/>
                <w:szCs w:val="16"/>
                <w:lang w:eastAsia="ar-SA"/>
              </w:rPr>
              <w:t> </w:t>
            </w: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fldChar w:fldCharType="end"/>
            </w:r>
          </w:p>
        </w:tc>
      </w:tr>
      <w:tr w:rsidR="00DE08F1" w:rsidRPr="00DE08F1" w14:paraId="47A0C87E" w14:textId="77777777" w:rsidTr="007F7331">
        <w:trPr>
          <w:trHeight w:val="340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5FDE8FE6" w14:textId="77777777"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Charakter odběru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14:paraId="78434451" w14:textId="77777777" w:rsidR="00DE08F1" w:rsidRPr="007F7331" w:rsidRDefault="00DE3C1D" w:rsidP="007F73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F51E8">
              <w:rPr>
                <w:rFonts w:ascii="Arial" w:hAnsi="Arial" w:cs="Arial"/>
                <w:sz w:val="16"/>
                <w:szCs w:val="16"/>
              </w:rPr>
            </w:r>
            <w:r w:rsidR="004F51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8F1"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Z2      </w:t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F51E8">
              <w:rPr>
                <w:rFonts w:ascii="Arial" w:hAnsi="Arial" w:cs="Arial"/>
                <w:sz w:val="16"/>
                <w:szCs w:val="16"/>
              </w:rPr>
            </w:r>
            <w:r w:rsidR="004F51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8F1"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Z1       </w:t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F51E8">
              <w:rPr>
                <w:rFonts w:ascii="Arial" w:hAnsi="Arial" w:cs="Arial"/>
                <w:sz w:val="16"/>
                <w:szCs w:val="16"/>
              </w:rPr>
            </w:r>
            <w:r w:rsidR="004F51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8F1"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</w:t>
            </w:r>
          </w:p>
        </w:tc>
      </w:tr>
      <w:tr w:rsidR="00DE08F1" w:rsidRPr="00DE08F1" w14:paraId="7E895AAC" w14:textId="77777777" w:rsidTr="007F7331">
        <w:trPr>
          <w:trHeight w:val="340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7E38675B" w14:textId="77777777"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Způsob napojení: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14:paraId="54E2093D" w14:textId="77777777" w:rsidR="00DE08F1" w:rsidRPr="007F7331" w:rsidRDefault="00DE3C1D" w:rsidP="007F733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F51E8">
              <w:rPr>
                <w:rFonts w:ascii="Arial" w:hAnsi="Arial" w:cs="Arial"/>
                <w:sz w:val="16"/>
                <w:szCs w:val="16"/>
              </w:rPr>
            </w:r>
            <w:r w:rsidR="004F51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8F1"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Místní síť            </w:t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F51E8">
              <w:rPr>
                <w:rFonts w:ascii="Arial" w:hAnsi="Arial" w:cs="Arial"/>
                <w:sz w:val="16"/>
                <w:szCs w:val="16"/>
              </w:rPr>
            </w:r>
            <w:r w:rsidR="004F51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73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E08F1" w:rsidRPr="007F7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8F1"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Dálkovod</w:t>
            </w:r>
          </w:p>
        </w:tc>
      </w:tr>
      <w:tr w:rsidR="00DE08F1" w:rsidRPr="00DE08F1" w14:paraId="566C4A7D" w14:textId="77777777" w:rsidTr="007F7331">
        <w:trPr>
          <w:trHeight w:val="340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76687FCD" w14:textId="77777777"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Časovost: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</w:tcPr>
          <w:p w14:paraId="21FBDD7A" w14:textId="77777777" w:rsidR="00DE08F1" w:rsidRPr="007F7331" w:rsidRDefault="00DE08F1" w:rsidP="007F7331">
            <w:pPr>
              <w:tabs>
                <w:tab w:val="left" w:pos="4957"/>
              </w:tabs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7331">
              <w:rPr>
                <w:rFonts w:ascii="Arial" w:hAnsi="Arial" w:cs="Arial"/>
                <w:sz w:val="16"/>
                <w:szCs w:val="16"/>
              </w:rPr>
              <w:t>x</w:t>
            </w:r>
            <w:r w:rsidR="00DE3C1D" w:rsidRPr="007F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F73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F51E8">
              <w:rPr>
                <w:rFonts w:ascii="Arial" w:hAnsi="Arial" w:cs="Arial"/>
                <w:sz w:val="16"/>
                <w:szCs w:val="16"/>
              </w:rPr>
            </w:r>
            <w:r w:rsidR="004F51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3C1D" w:rsidRPr="007F73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7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Pracovní </w:t>
            </w:r>
            <w:proofErr w:type="gramStart"/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den</w:t>
            </w:r>
            <w:r w:rsidRPr="007F7331">
              <w:rPr>
                <w:rFonts w:ascii="Arial" w:hAnsi="Arial" w:cs="Arial"/>
                <w:sz w:val="16"/>
                <w:szCs w:val="16"/>
              </w:rPr>
              <w:t xml:space="preserve">    x </w:t>
            </w:r>
            <w:proofErr w:type="gramEnd"/>
            <w:r w:rsidR="00DE3C1D" w:rsidRPr="007F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F733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F51E8">
              <w:rPr>
                <w:rFonts w:ascii="Arial" w:hAnsi="Arial" w:cs="Arial"/>
                <w:sz w:val="16"/>
                <w:szCs w:val="16"/>
              </w:rPr>
            </w:r>
            <w:r w:rsidR="004F51E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3C1D" w:rsidRPr="007F73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víkend</w:t>
            </w:r>
          </w:p>
        </w:tc>
      </w:tr>
      <w:tr w:rsidR="00DE08F1" w:rsidRPr="00DE08F1" w14:paraId="2CBC9CBD" w14:textId="77777777" w:rsidTr="007F7331">
        <w:trPr>
          <w:trHeight w:val="183"/>
        </w:trPr>
        <w:tc>
          <w:tcPr>
            <w:tcW w:w="9606" w:type="dxa"/>
            <w:gridSpan w:val="13"/>
            <w:shd w:val="clear" w:color="auto" w:fill="auto"/>
            <w:vAlign w:val="center"/>
          </w:tcPr>
          <w:p w14:paraId="13728DF5" w14:textId="77777777" w:rsidR="00DE08F1" w:rsidRPr="007F7331" w:rsidRDefault="00DE08F1" w:rsidP="007F73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F1" w:rsidRPr="00DE08F1" w14:paraId="55A67D4A" w14:textId="77777777" w:rsidTr="007F7331">
        <w:trPr>
          <w:trHeight w:val="340"/>
        </w:trPr>
        <w:tc>
          <w:tcPr>
            <w:tcW w:w="9606" w:type="dxa"/>
            <w:gridSpan w:val="13"/>
            <w:shd w:val="clear" w:color="auto" w:fill="auto"/>
            <w:vAlign w:val="center"/>
          </w:tcPr>
          <w:p w14:paraId="5AD5C2FE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</w:rPr>
              <w:t xml:space="preserve">Rozdělení spotřeby podle jednotlivých měsíců v MWh </w:t>
            </w:r>
            <w:r w:rsidRPr="007F7331">
              <w:rPr>
                <w:rFonts w:ascii="Arial" w:hAnsi="Arial" w:cs="Arial"/>
                <w:sz w:val="16"/>
                <w:szCs w:val="16"/>
              </w:rPr>
              <w:t>(zaokrouhleno na celá čísla)</w:t>
            </w:r>
          </w:p>
        </w:tc>
      </w:tr>
      <w:tr w:rsidR="00DE08F1" w:rsidRPr="00DE08F1" w14:paraId="080AD357" w14:textId="77777777" w:rsidTr="007F7331">
        <w:trPr>
          <w:trHeight w:val="340"/>
        </w:trPr>
        <w:tc>
          <w:tcPr>
            <w:tcW w:w="800" w:type="dxa"/>
            <w:shd w:val="clear" w:color="auto" w:fill="auto"/>
            <w:vAlign w:val="center"/>
          </w:tcPr>
          <w:p w14:paraId="6F2152C0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C708BE7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4B41C5F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7CB1414C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7230A2E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64A4D11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B7B7484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A31E902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7C4D1B5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4AE00BE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25F59C2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F032E10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F733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12.</w:t>
            </w:r>
          </w:p>
        </w:tc>
      </w:tr>
      <w:tr w:rsidR="00DE08F1" w:rsidRPr="00DE08F1" w14:paraId="6369F6BD" w14:textId="77777777" w:rsidTr="007F7331">
        <w:trPr>
          <w:trHeight w:val="204"/>
        </w:trPr>
        <w:tc>
          <w:tcPr>
            <w:tcW w:w="800" w:type="dxa"/>
            <w:shd w:val="clear" w:color="auto" w:fill="auto"/>
            <w:vAlign w:val="center"/>
          </w:tcPr>
          <w:p w14:paraId="225A5493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7E6B4611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46C02FE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6EBBBE2F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37C1147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39AFA28A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1FB687E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44E473E1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B3E4ADE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FCAEF1A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5743AB16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5A074188" w14:textId="77777777" w:rsidR="00DE08F1" w:rsidRPr="007F7331" w:rsidRDefault="00DE08F1" w:rsidP="007F73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732BA5EC" w14:textId="77777777" w:rsidR="00DE08F1" w:rsidRPr="005B0BBD" w:rsidRDefault="00DE08F1" w:rsidP="00626AE5">
      <w:pPr>
        <w:spacing w:after="0"/>
        <w:rPr>
          <w:rFonts w:ascii="Arial" w:hAnsi="Arial" w:cs="Arial"/>
          <w:sz w:val="14"/>
          <w:szCs w:val="16"/>
        </w:rPr>
      </w:pPr>
      <w:r w:rsidRPr="00DE08F1">
        <w:rPr>
          <w:rFonts w:ascii="Arial" w:hAnsi="Arial" w:cs="Arial"/>
          <w:b/>
          <w:sz w:val="16"/>
          <w:szCs w:val="16"/>
        </w:rPr>
        <w:tab/>
      </w:r>
      <w:r w:rsidRPr="005B0BBD">
        <w:rPr>
          <w:rFonts w:ascii="Arial" w:hAnsi="Arial" w:cs="Arial"/>
          <w:b/>
          <w:sz w:val="14"/>
          <w:szCs w:val="16"/>
        </w:rPr>
        <w:t>Charakter odběru</w:t>
      </w:r>
    </w:p>
    <w:p w14:paraId="6C8932D6" w14:textId="77777777" w:rsidR="00DE08F1" w:rsidRPr="005B0BBD" w:rsidRDefault="00DE08F1" w:rsidP="00626AE5">
      <w:pPr>
        <w:tabs>
          <w:tab w:val="left" w:pos="993"/>
        </w:tabs>
        <w:spacing w:after="0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sz w:val="14"/>
          <w:szCs w:val="16"/>
        </w:rPr>
        <w:tab/>
      </w:r>
      <w:r w:rsidRPr="005B0BBD">
        <w:rPr>
          <w:rFonts w:ascii="Arial" w:hAnsi="Arial" w:cs="Arial"/>
          <w:b/>
          <w:sz w:val="14"/>
          <w:szCs w:val="16"/>
        </w:rPr>
        <w:t>Z2</w:t>
      </w:r>
      <w:r w:rsidRPr="005B0BBD">
        <w:rPr>
          <w:rFonts w:ascii="Arial" w:hAnsi="Arial" w:cs="Arial"/>
          <w:sz w:val="14"/>
          <w:szCs w:val="16"/>
        </w:rPr>
        <w:t xml:space="preserve"> – součet odběru za první a čtvrté čtvrtletí tvoří 75% a více celkového ročního odběru</w:t>
      </w:r>
    </w:p>
    <w:p w14:paraId="66702F5B" w14:textId="77777777" w:rsidR="00DE08F1" w:rsidRPr="005B0BBD" w:rsidRDefault="00DE08F1" w:rsidP="00626AE5">
      <w:pPr>
        <w:tabs>
          <w:tab w:val="left" w:pos="993"/>
        </w:tabs>
        <w:spacing w:after="0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sz w:val="14"/>
          <w:szCs w:val="16"/>
        </w:rPr>
        <w:tab/>
      </w:r>
      <w:r w:rsidRPr="005B0BBD">
        <w:rPr>
          <w:rFonts w:ascii="Arial" w:hAnsi="Arial" w:cs="Arial"/>
          <w:b/>
          <w:sz w:val="14"/>
          <w:szCs w:val="16"/>
        </w:rPr>
        <w:t>Z1</w:t>
      </w:r>
      <w:r w:rsidRPr="005B0BBD">
        <w:rPr>
          <w:rFonts w:ascii="Arial" w:hAnsi="Arial" w:cs="Arial"/>
          <w:sz w:val="14"/>
          <w:szCs w:val="16"/>
        </w:rPr>
        <w:t xml:space="preserve"> – součet odběru za první a čtvrté čtvrtletí tvoří 60 až 75% celkového ročního odběru</w:t>
      </w:r>
    </w:p>
    <w:p w14:paraId="78D59A62" w14:textId="77777777" w:rsidR="00DE08F1" w:rsidRPr="005B0BBD" w:rsidRDefault="00DE08F1" w:rsidP="00626AE5">
      <w:pPr>
        <w:tabs>
          <w:tab w:val="left" w:pos="993"/>
        </w:tabs>
        <w:spacing w:after="0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sz w:val="14"/>
          <w:szCs w:val="16"/>
        </w:rPr>
        <w:tab/>
      </w:r>
      <w:r w:rsidRPr="005B0BBD">
        <w:rPr>
          <w:rFonts w:ascii="Arial" w:hAnsi="Arial" w:cs="Arial"/>
          <w:b/>
          <w:sz w:val="14"/>
          <w:szCs w:val="16"/>
        </w:rPr>
        <w:t xml:space="preserve">L </w:t>
      </w:r>
      <w:r w:rsidRPr="005B0BBD">
        <w:rPr>
          <w:rFonts w:ascii="Arial" w:hAnsi="Arial" w:cs="Arial"/>
          <w:sz w:val="14"/>
          <w:szCs w:val="16"/>
        </w:rPr>
        <w:t>– součet odběru za první a čtvrté čtvrtletí tvoří méně než 60% celkového ročního odběru</w:t>
      </w:r>
    </w:p>
    <w:p w14:paraId="3590AA1F" w14:textId="77777777" w:rsidR="00DE08F1" w:rsidRPr="005B0BBD" w:rsidRDefault="00DE08F1" w:rsidP="005B0BBD">
      <w:pPr>
        <w:tabs>
          <w:tab w:val="left" w:pos="993"/>
        </w:tabs>
        <w:spacing w:after="0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sz w:val="14"/>
          <w:szCs w:val="16"/>
        </w:rPr>
        <w:tab/>
      </w:r>
      <w:r w:rsidRPr="005B0BBD">
        <w:rPr>
          <w:rFonts w:ascii="Arial" w:hAnsi="Arial" w:cs="Arial"/>
          <w:b/>
          <w:sz w:val="14"/>
          <w:szCs w:val="16"/>
        </w:rPr>
        <w:t>Způsob napojení:</w:t>
      </w:r>
    </w:p>
    <w:p w14:paraId="09DB3F4E" w14:textId="77777777" w:rsidR="00DE08F1" w:rsidRPr="005B0BBD" w:rsidRDefault="00DE08F1" w:rsidP="00626AE5">
      <w:pPr>
        <w:tabs>
          <w:tab w:val="left" w:pos="993"/>
        </w:tabs>
        <w:spacing w:after="0"/>
        <w:ind w:left="1843" w:hanging="850"/>
        <w:jc w:val="both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b/>
          <w:sz w:val="14"/>
          <w:szCs w:val="16"/>
        </w:rPr>
        <w:t>Místní síť</w:t>
      </w:r>
      <w:r w:rsidRPr="005B0BBD">
        <w:rPr>
          <w:rFonts w:ascii="Arial" w:hAnsi="Arial" w:cs="Arial"/>
          <w:sz w:val="14"/>
          <w:szCs w:val="16"/>
        </w:rPr>
        <w:t xml:space="preserve"> – odběrné místo, ve kterém je odběrné plynové zařízení připojené ke středotlaké nebo nízkotlaké části distribuční soustavy</w:t>
      </w:r>
    </w:p>
    <w:p w14:paraId="3B185739" w14:textId="77777777" w:rsidR="00DE08F1" w:rsidRPr="005B0BBD" w:rsidRDefault="00DE08F1" w:rsidP="00626AE5">
      <w:pPr>
        <w:tabs>
          <w:tab w:val="left" w:pos="993"/>
        </w:tabs>
        <w:spacing w:after="0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sz w:val="14"/>
          <w:szCs w:val="16"/>
        </w:rPr>
        <w:tab/>
      </w:r>
      <w:r w:rsidRPr="005B0BBD">
        <w:rPr>
          <w:rFonts w:ascii="Arial" w:hAnsi="Arial" w:cs="Arial"/>
          <w:b/>
          <w:sz w:val="14"/>
          <w:szCs w:val="16"/>
        </w:rPr>
        <w:t xml:space="preserve">Dálkovod </w:t>
      </w:r>
      <w:r w:rsidRPr="005B0BBD">
        <w:rPr>
          <w:rFonts w:ascii="Arial" w:hAnsi="Arial" w:cs="Arial"/>
          <w:sz w:val="14"/>
          <w:szCs w:val="16"/>
        </w:rPr>
        <w:t>– odběrné místo, ve kterém je odběrné plynové zařízení připojené k vysokotlaké části distribuční soustavy</w:t>
      </w:r>
    </w:p>
    <w:p w14:paraId="2FD6EEEA" w14:textId="77777777" w:rsidR="00DE08F1" w:rsidRPr="005B0BBD" w:rsidRDefault="00626AE5" w:rsidP="005B0BBD">
      <w:pPr>
        <w:tabs>
          <w:tab w:val="left" w:pos="993"/>
        </w:tabs>
        <w:spacing w:after="0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b/>
          <w:sz w:val="14"/>
          <w:szCs w:val="16"/>
        </w:rPr>
        <w:t xml:space="preserve">     </w:t>
      </w:r>
      <w:r w:rsidR="005B0BBD">
        <w:rPr>
          <w:rFonts w:ascii="Arial" w:hAnsi="Arial" w:cs="Arial"/>
          <w:b/>
          <w:sz w:val="14"/>
          <w:szCs w:val="16"/>
        </w:rPr>
        <w:tab/>
      </w:r>
      <w:r w:rsidR="00DE08F1" w:rsidRPr="005B0BBD">
        <w:rPr>
          <w:rFonts w:ascii="Arial" w:hAnsi="Arial" w:cs="Arial"/>
          <w:b/>
          <w:sz w:val="14"/>
          <w:szCs w:val="16"/>
        </w:rPr>
        <w:t>Časovost:</w:t>
      </w:r>
    </w:p>
    <w:p w14:paraId="63984C3D" w14:textId="77777777" w:rsidR="00DE08F1" w:rsidRPr="005B0BBD" w:rsidRDefault="00DE08F1" w:rsidP="005B0BBD">
      <w:pPr>
        <w:tabs>
          <w:tab w:val="left" w:pos="993"/>
        </w:tabs>
        <w:spacing w:after="0"/>
        <w:rPr>
          <w:rFonts w:ascii="Arial" w:hAnsi="Arial" w:cs="Arial"/>
          <w:sz w:val="14"/>
          <w:szCs w:val="16"/>
        </w:rPr>
      </w:pPr>
      <w:r w:rsidRPr="005B0BBD">
        <w:rPr>
          <w:rFonts w:ascii="Arial" w:hAnsi="Arial" w:cs="Arial"/>
          <w:sz w:val="14"/>
          <w:szCs w:val="16"/>
        </w:rPr>
        <w:tab/>
        <w:t xml:space="preserve">Doba, ve které se odběr provádí. </w:t>
      </w:r>
    </w:p>
    <w:sectPr w:rsidR="00DE08F1" w:rsidRPr="005B0BBD" w:rsidSect="00887B9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1D75"/>
    <w:multiLevelType w:val="hybridMultilevel"/>
    <w:tmpl w:val="F1AE5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56D4B"/>
    <w:multiLevelType w:val="multilevel"/>
    <w:tmpl w:val="124668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lvlText w:val="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C94B05"/>
    <w:multiLevelType w:val="hybridMultilevel"/>
    <w:tmpl w:val="FCA4EC6A"/>
    <w:lvl w:ilvl="0" w:tplc="765656DE">
      <w:numFmt w:val="bullet"/>
      <w:lvlText w:val="-"/>
      <w:lvlJc w:val="left"/>
      <w:pPr>
        <w:tabs>
          <w:tab w:val="num" w:pos="87"/>
        </w:tabs>
        <w:ind w:left="8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5656D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22F19"/>
    <w:multiLevelType w:val="multilevel"/>
    <w:tmpl w:val="8A928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E5B700C"/>
    <w:multiLevelType w:val="hybridMultilevel"/>
    <w:tmpl w:val="950425C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DD3133"/>
    <w:multiLevelType w:val="hybridMultilevel"/>
    <w:tmpl w:val="F2B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B6D06"/>
    <w:multiLevelType w:val="hybridMultilevel"/>
    <w:tmpl w:val="1CC04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2B7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A4E0D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Rr8W0/83W/TnxzQYYmgTNyAKMC3ysfoxdVsiVs+Rs2MXy4bVA6sq0MoXtBLja8g/OBZyDvTc0xVq86QqDB9g==" w:salt="+HY/rtX6QMhlMI1tskf1B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1794"/>
    <w:rsid w:val="0003284E"/>
    <w:rsid w:val="0003485E"/>
    <w:rsid w:val="00087E0A"/>
    <w:rsid w:val="001325F3"/>
    <w:rsid w:val="00156F83"/>
    <w:rsid w:val="00184AC7"/>
    <w:rsid w:val="00220E9E"/>
    <w:rsid w:val="002261F7"/>
    <w:rsid w:val="00325CE8"/>
    <w:rsid w:val="003A7E7D"/>
    <w:rsid w:val="003B6004"/>
    <w:rsid w:val="003E771E"/>
    <w:rsid w:val="003F11F9"/>
    <w:rsid w:val="0048661A"/>
    <w:rsid w:val="004F51E8"/>
    <w:rsid w:val="005254E0"/>
    <w:rsid w:val="005329F0"/>
    <w:rsid w:val="00570577"/>
    <w:rsid w:val="005824A9"/>
    <w:rsid w:val="005913E3"/>
    <w:rsid w:val="0059194D"/>
    <w:rsid w:val="005B0BBD"/>
    <w:rsid w:val="005C28D0"/>
    <w:rsid w:val="005D0517"/>
    <w:rsid w:val="005D42B3"/>
    <w:rsid w:val="00626AE5"/>
    <w:rsid w:val="00644B51"/>
    <w:rsid w:val="00686D4C"/>
    <w:rsid w:val="006D27E8"/>
    <w:rsid w:val="00705FCF"/>
    <w:rsid w:val="00716796"/>
    <w:rsid w:val="00725EED"/>
    <w:rsid w:val="00747A01"/>
    <w:rsid w:val="00752956"/>
    <w:rsid w:val="007A5F3D"/>
    <w:rsid w:val="007B0768"/>
    <w:rsid w:val="007F7331"/>
    <w:rsid w:val="00804472"/>
    <w:rsid w:val="00844609"/>
    <w:rsid w:val="00863D59"/>
    <w:rsid w:val="00887B9B"/>
    <w:rsid w:val="008C71A3"/>
    <w:rsid w:val="008D75C3"/>
    <w:rsid w:val="008D7901"/>
    <w:rsid w:val="008E4840"/>
    <w:rsid w:val="009247DD"/>
    <w:rsid w:val="00967B87"/>
    <w:rsid w:val="009D080A"/>
    <w:rsid w:val="009D6924"/>
    <w:rsid w:val="00A40AAF"/>
    <w:rsid w:val="00AE31C7"/>
    <w:rsid w:val="00B04B5C"/>
    <w:rsid w:val="00C0263C"/>
    <w:rsid w:val="00C03C03"/>
    <w:rsid w:val="00C15410"/>
    <w:rsid w:val="00C3181E"/>
    <w:rsid w:val="00C4736C"/>
    <w:rsid w:val="00CA412D"/>
    <w:rsid w:val="00CA6348"/>
    <w:rsid w:val="00D00748"/>
    <w:rsid w:val="00D25643"/>
    <w:rsid w:val="00D265C3"/>
    <w:rsid w:val="00D378F2"/>
    <w:rsid w:val="00D91794"/>
    <w:rsid w:val="00DD4DE0"/>
    <w:rsid w:val="00DE08F1"/>
    <w:rsid w:val="00DE3C1D"/>
    <w:rsid w:val="00E24C55"/>
    <w:rsid w:val="00E46604"/>
    <w:rsid w:val="00E95003"/>
    <w:rsid w:val="00E95AF2"/>
    <w:rsid w:val="00E97A06"/>
    <w:rsid w:val="00EF1AEC"/>
    <w:rsid w:val="00F309C5"/>
    <w:rsid w:val="00F35F9A"/>
    <w:rsid w:val="00F6471A"/>
    <w:rsid w:val="00FB207B"/>
    <w:rsid w:val="00F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7106"/>
  <w15:docId w15:val="{79CA8356-9E2A-4EDF-8040-F4B9D671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004"/>
  </w:style>
  <w:style w:type="paragraph" w:styleId="Nadpis7">
    <w:name w:val="heading 7"/>
    <w:basedOn w:val="Normln"/>
    <w:next w:val="Normln"/>
    <w:link w:val="Nadpis7Char"/>
    <w:qFormat/>
    <w:rsid w:val="00DE08F1"/>
    <w:pPr>
      <w:keepNext/>
      <w:spacing w:before="120" w:after="0" w:line="240" w:lineRule="exact"/>
      <w:jc w:val="center"/>
      <w:outlineLvl w:val="6"/>
    </w:pPr>
    <w:rPr>
      <w:rFonts w:ascii="Times New Roman" w:eastAsia="Times New Roman" w:hAnsi="Times New Roman" w:cs="Times New Roman"/>
      <w:b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8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83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E95003"/>
    <w:pPr>
      <w:spacing w:after="0" w:line="220" w:lineRule="exact"/>
      <w:ind w:firstLine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5003"/>
    <w:rPr>
      <w:rFonts w:ascii="Times New Roman" w:eastAsia="Times New Roman" w:hAnsi="Times New Roman" w:cs="Times New Roman"/>
      <w:szCs w:val="24"/>
    </w:rPr>
  </w:style>
  <w:style w:type="paragraph" w:styleId="Textkomente">
    <w:name w:val="annotation text"/>
    <w:basedOn w:val="Normln"/>
    <w:link w:val="TextkomenteChar"/>
    <w:semiHidden/>
    <w:rsid w:val="00C0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03C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309C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E08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E08F1"/>
  </w:style>
  <w:style w:type="character" w:customStyle="1" w:styleId="Nadpis7Char">
    <w:name w:val="Nadpis 7 Char"/>
    <w:basedOn w:val="Standardnpsmoodstavce"/>
    <w:link w:val="Nadpis7"/>
    <w:rsid w:val="00DE08F1"/>
    <w:rPr>
      <w:rFonts w:ascii="Times New Roman" w:eastAsia="Times New Roman" w:hAnsi="Times New Roman" w:cs="Times New Roman"/>
      <w:b/>
      <w:sz w:val="23"/>
      <w:szCs w:val="23"/>
      <w:lang w:eastAsia="cs-CZ"/>
    </w:rPr>
  </w:style>
  <w:style w:type="paragraph" w:customStyle="1" w:styleId="Nzevlnku">
    <w:name w:val="Název článku"/>
    <w:basedOn w:val="Normln"/>
    <w:next w:val="Normln"/>
    <w:rsid w:val="00DE08F1"/>
    <w:pPr>
      <w:keepNext/>
      <w:keepLines/>
      <w:suppressAutoHyphens/>
      <w:adjustRightInd w:val="0"/>
      <w:snapToGrid w:val="0"/>
      <w:spacing w:before="240" w:after="0" w:line="240" w:lineRule="auto"/>
      <w:contextualSpacing/>
      <w:outlineLvl w:val="2"/>
    </w:pPr>
    <w:rPr>
      <w:rFonts w:ascii="Arial" w:eastAsia="Times New Roman" w:hAnsi="Arial" w:cs="Arial"/>
      <w:b/>
      <w:sz w:val="18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E08F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E08F1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semiHidden/>
    <w:rsid w:val="00DE08F1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A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B2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majchrovsky@dp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elka@dp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5364-7421-4313-B95B-4E1D2D1D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1640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Dybova</dc:creator>
  <cp:lastModifiedBy>Ivona Stefkova</cp:lastModifiedBy>
  <cp:revision>11</cp:revision>
  <cp:lastPrinted>2012-10-25T11:35:00Z</cp:lastPrinted>
  <dcterms:created xsi:type="dcterms:W3CDTF">2015-03-13T07:43:00Z</dcterms:created>
  <dcterms:modified xsi:type="dcterms:W3CDTF">2015-04-30T09:29:00Z</dcterms:modified>
</cp:coreProperties>
</file>