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1D008A">
        <w:trPr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882328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A468EF" w:rsidRDefault="00882328" w:rsidP="0025285C">
            <w:pPr>
              <w:ind w:right="-88"/>
              <w:rPr>
                <w:rFonts w:ascii="Arial" w:hAnsi="Arial" w:cs="Arial"/>
                <w:b/>
              </w:rPr>
            </w:pPr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 w:rsidR="0025285C"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Pr="009B0D61" w:rsidRDefault="007207C1" w:rsidP="00AC200A">
            <w:pPr>
              <w:pStyle w:val="zklad"/>
              <w:jc w:val="left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7207C1">
              <w:rPr>
                <w:rFonts w:ascii="Arial" w:hAnsi="Arial" w:cs="Arial"/>
                <w:b/>
                <w:iCs w:val="0"/>
                <w:sz w:val="20"/>
                <w:szCs w:val="20"/>
              </w:rPr>
              <w:t>Poskytnutí technické podpory k internímu portálu pro správu identit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8EF" w:rsidTr="001D008A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082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Martin Honajzer, OVA</w:t>
            </w:r>
            <w:r w:rsidR="000826F7"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z w:val="20"/>
                <w:szCs w:val="20"/>
              </w:rPr>
              <w:t xml:space="preserve"> a.s., Hájkova 1100/13, 702 00 Ostrava - Přívoz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882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</w:t>
            </w:r>
            <w:r w:rsidR="00882328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082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honajzer@ova</w:t>
            </w:r>
            <w:r w:rsidR="000826F7">
              <w:rPr>
                <w:rFonts w:ascii="Arial" w:hAnsi="Arial" w:cs="Arial"/>
                <w:sz w:val="20"/>
                <w:szCs w:val="20"/>
              </w:rPr>
              <w:t>net.cz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98147B" w:rsidRPr="00147AC2" w:rsidRDefault="0098147B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D008A" w:rsidRPr="00147AC2" w:rsidRDefault="0098147B" w:rsidP="00851E70">
            <w:pPr>
              <w:ind w:left="152" w:right="19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47AC2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</w:t>
            </w:r>
            <w:r w:rsidR="007207C1">
              <w:rPr>
                <w:rFonts w:ascii="Arial" w:hAnsi="Arial" w:cs="Arial"/>
                <w:iCs/>
                <w:sz w:val="20"/>
                <w:szCs w:val="20"/>
              </w:rPr>
              <w:t xml:space="preserve">poskytnutí technické podpory k internímu portálu pro správu identit podle specifikace uvedené v příloze </w:t>
            </w:r>
            <w:proofErr w:type="gramStart"/>
            <w:r w:rsidR="007207C1">
              <w:rPr>
                <w:rFonts w:ascii="Arial" w:hAnsi="Arial" w:cs="Arial"/>
                <w:iCs/>
                <w:sz w:val="20"/>
                <w:szCs w:val="20"/>
              </w:rPr>
              <w:t>č. 1 zadávacích</w:t>
            </w:r>
            <w:proofErr w:type="gramEnd"/>
            <w:r w:rsidR="007207C1">
              <w:rPr>
                <w:rFonts w:ascii="Arial" w:hAnsi="Arial" w:cs="Arial"/>
                <w:iCs/>
                <w:sz w:val="20"/>
                <w:szCs w:val="20"/>
              </w:rPr>
              <w:t xml:space="preserve"> podmínek.</w:t>
            </w:r>
            <w:r w:rsidRPr="00147AC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C46DE" w:rsidRPr="00147AC2" w:rsidRDefault="00FC46DE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C6DFF" w:rsidRPr="00147AC2" w:rsidRDefault="00405F6C" w:rsidP="00EC36EE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Další podmínky plnění předmětu veřejné zakázky jsou uvedeny</w:t>
            </w:r>
            <w:r w:rsidR="00251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="00251B02">
              <w:rPr>
                <w:rFonts w:ascii="Arial" w:hAnsi="Arial" w:cs="Arial"/>
                <w:i/>
                <w:iCs/>
                <w:sz w:val="20"/>
                <w:szCs w:val="20"/>
              </w:rPr>
              <w:t>  p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ožadavcích na obsah smlouvy ze strany zadavatele – příloha </w:t>
            </w:r>
            <w:proofErr w:type="gramStart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č. </w:t>
            </w:r>
            <w:r w:rsidR="00145D8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zadávac</w:t>
            </w:r>
            <w:r w:rsidR="00EC36EE">
              <w:rPr>
                <w:rFonts w:ascii="Arial" w:hAnsi="Arial" w:cs="Arial"/>
                <w:i/>
                <w:iCs/>
                <w:sz w:val="20"/>
                <w:szCs w:val="20"/>
              </w:rPr>
              <w:t>ích</w:t>
            </w:r>
            <w:proofErr w:type="gramEnd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C36EE">
              <w:rPr>
                <w:rFonts w:ascii="Arial" w:hAnsi="Arial" w:cs="Arial"/>
                <w:i/>
                <w:iCs/>
                <w:sz w:val="20"/>
                <w:szCs w:val="20"/>
              </w:rPr>
              <w:t>podmínek</w:t>
            </w:r>
            <w:r w:rsidR="00147AC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C6DF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</w:t>
            </w:r>
            <w:r w:rsidR="00D0707C">
              <w:rPr>
                <w:rFonts w:ascii="Arial" w:hAnsi="Arial" w:cs="Arial"/>
                <w:iCs w:val="0"/>
                <w:sz w:val="20"/>
                <w:szCs w:val="20"/>
              </w:rPr>
              <w:t>ojektů IT služeb a outsourcingu a lokalita Hájkova 1100/13, 702 00 Ostrava-Přívoz.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6DFF" w:rsidRDefault="0095636A" w:rsidP="00387996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="00DF50B4"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 w:rsidR="00555305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  <w:r w:rsidR="00D070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9731A" w:rsidRDefault="0089731A" w:rsidP="00B76545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</w:t>
            </w:r>
            <w:r w:rsidR="00730A6C">
              <w:rPr>
                <w:rFonts w:ascii="Arial" w:hAnsi="Arial" w:cs="Arial"/>
                <w:b/>
                <w:sz w:val="20"/>
                <w:szCs w:val="20"/>
              </w:rPr>
              <w:t>o nabídková cena bude posuzován součet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roční </w:t>
            </w:r>
            <w:r w:rsidR="00730A6C">
              <w:rPr>
                <w:rFonts w:ascii="Arial" w:hAnsi="Arial" w:cs="Arial"/>
                <w:b/>
                <w:sz w:val="20"/>
                <w:szCs w:val="20"/>
              </w:rPr>
              <w:t xml:space="preserve">technické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podpory</w:t>
            </w:r>
            <w:r w:rsidR="00730A6C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proofErr w:type="spellStart"/>
            <w:r w:rsidR="00730A6C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proofErr w:type="spellEnd"/>
            <w:r w:rsidR="00730A6C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730A6C">
              <w:rPr>
                <w:rFonts w:ascii="Arial" w:hAnsi="Arial" w:cs="Arial"/>
                <w:b/>
                <w:sz w:val="20"/>
                <w:szCs w:val="20"/>
              </w:rPr>
              <w:t>cen</w:t>
            </w:r>
            <w:r w:rsidR="00EA0C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730A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servisních prací </w:t>
            </w:r>
            <w:r w:rsidR="00730A6C">
              <w:rPr>
                <w:rFonts w:ascii="Arial" w:hAnsi="Arial" w:cs="Arial"/>
                <w:b/>
                <w:sz w:val="20"/>
                <w:szCs w:val="20"/>
              </w:rPr>
              <w:t xml:space="preserve">technické podpory „Support“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 objemu </w:t>
            </w:r>
            <w:r w:rsidR="00C04605" w:rsidRPr="00C046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0460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hodin.</w:t>
            </w:r>
            <w:r w:rsidR="00AC14A4">
              <w:rPr>
                <w:rFonts w:ascii="Arial" w:hAnsi="Arial" w:cs="Arial"/>
                <w:b/>
                <w:sz w:val="20"/>
                <w:szCs w:val="20"/>
              </w:rPr>
              <w:t xml:space="preserve"> V případě rovnosti </w:t>
            </w:r>
            <w:r w:rsidR="00B76545">
              <w:rPr>
                <w:rFonts w:ascii="Arial" w:hAnsi="Arial" w:cs="Arial"/>
                <w:b/>
                <w:sz w:val="20"/>
                <w:szCs w:val="20"/>
              </w:rPr>
              <w:t>nabídkové ceny u více uchazečů bude jako výhodnější nabídka hodnocena nabídka s nižší cenou servisních prací technické podpory „Support“.</w:t>
            </w:r>
          </w:p>
          <w:p w:rsidR="00EA0C40" w:rsidRDefault="00EA0C40" w:rsidP="00EC36EE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36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 roční technickou podporu „</w:t>
            </w:r>
            <w:proofErr w:type="spellStart"/>
            <w:r w:rsidRPr="00EC36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Maintenance</w:t>
            </w:r>
            <w:proofErr w:type="spellEnd"/>
            <w:r w:rsidRPr="00EC36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“ platí maximální přípustná hranice </w:t>
            </w:r>
            <w:r w:rsidRPr="00EC36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160.000,00 Kč </w:t>
            </w:r>
            <w:r w:rsidR="00EC36EE" w:rsidRPr="00EC36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vč. </w:t>
            </w:r>
            <w:r w:rsidRPr="00EC36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  <w:r w:rsidRPr="00EC36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Nabídka, která překročí tento limit</w:t>
            </w:r>
            <w:r w:rsidR="00EB49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bude vyhodnocena jako nabídka nesplňující zadávací podmínky.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8EF" w:rsidRDefault="00555305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8EF" w:rsidRDefault="00555305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EC36EE" w:rsidRDefault="00EC36EE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31A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Zadavatel požaduje, aby uchazeč v nabídce uvedl nabídkovou cenu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gramEnd"/>
            <w:r w:rsidR="0089731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731A" w:rsidRDefault="0089731A" w:rsidP="0089731A">
            <w:pPr>
              <w:pStyle w:val="zklad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 technickou podporu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“, </w:t>
            </w:r>
          </w:p>
          <w:p w:rsidR="00A468EF" w:rsidRDefault="0089731A" w:rsidP="0089731A">
            <w:pPr>
              <w:pStyle w:val="zklad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hodinovou sazbu za práce poskytované v rámci technické podpory „Support“</w:t>
            </w:r>
            <w:r w:rsidR="005553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731A" w:rsidRDefault="0089731A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to v tomto členění:</w:t>
            </w:r>
          </w:p>
          <w:p w:rsidR="00A468EF" w:rsidRDefault="00A07DD8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55305">
              <w:rPr>
                <w:rFonts w:ascii="Arial" w:hAnsi="Arial" w:cs="Arial"/>
                <w:sz w:val="20"/>
                <w:szCs w:val="20"/>
              </w:rPr>
              <w:t xml:space="preserve">abídková cena bez DPH,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A468EF" w:rsidRDefault="0055530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405F6C" w:rsidRPr="00976E2F" w:rsidRDefault="00405F6C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E0C2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2C6DFF" w:rsidRDefault="00405F6C" w:rsidP="00405F6C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0826F7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 w:rsidP="00EC36EE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</w:t>
            </w:r>
            <w:r w:rsidR="000826F7">
              <w:rPr>
                <w:rFonts w:ascii="Arial" w:hAnsi="Arial" w:cs="Arial"/>
                <w:b w:val="0"/>
                <w:sz w:val="20"/>
                <w:szCs w:val="20"/>
              </w:rPr>
              <w:t xml:space="preserve"> ze strany zadavatele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které jsou uvedeny v příloze č. 1 zadávací</w:t>
            </w:r>
            <w:r w:rsidR="00EC36EE">
              <w:rPr>
                <w:rFonts w:ascii="Arial" w:hAnsi="Arial" w:cs="Arial"/>
                <w:b w:val="0"/>
                <w:sz w:val="20"/>
                <w:szCs w:val="20"/>
              </w:rPr>
              <w:t>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36EE">
              <w:rPr>
                <w:rFonts w:ascii="Arial" w:hAnsi="Arial" w:cs="Arial"/>
                <w:b w:val="0"/>
                <w:sz w:val="20"/>
                <w:szCs w:val="20"/>
              </w:rPr>
              <w:t>podmínek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8EF" w:rsidRPr="0079085D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249FF" w:rsidRPr="0079085D" w:rsidRDefault="007249FF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7249FF" w:rsidRPr="0079085D" w:rsidRDefault="007249FF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Krycí list nabídky - pro sestavení krycího listu uchazeč použije přílohu č. </w:t>
            </w:r>
            <w:r w:rsidR="002C6DFF" w:rsidRPr="0079085D">
              <w:rPr>
                <w:rFonts w:ascii="Arial" w:hAnsi="Arial" w:cs="Arial"/>
                <w:iCs w:val="0"/>
                <w:sz w:val="20"/>
                <w:szCs w:val="20"/>
              </w:rPr>
              <w:t>2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VIII. Zadávací dokumentace (Kvalifikační předpoklady).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ust</w:t>
            </w:r>
            <w:proofErr w:type="spellEnd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§ 504 zákona č. 89/2012 Sb., občanský zákoník.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Prohlášení uchazeče o seznámení se s odkazy ve smlouvě podepsané oprávněnou osobou (příloha č. </w:t>
            </w:r>
            <w:r w:rsidR="002C6DFF" w:rsidRPr="0079085D">
              <w:rPr>
                <w:rFonts w:ascii="Arial" w:hAnsi="Arial" w:cs="Arial"/>
                <w:iCs w:val="0"/>
                <w:sz w:val="20"/>
                <w:szCs w:val="20"/>
              </w:rPr>
              <w:t>3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dokumentace).</w:t>
            </w:r>
          </w:p>
          <w:p w:rsidR="00A468E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8EF" w:rsidRDefault="00555305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79085D" w:rsidRDefault="00555305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</w:t>
            </w:r>
            <w:r w:rsidR="00E62A5B">
              <w:rPr>
                <w:rFonts w:ascii="Arial" w:hAnsi="Arial" w:cs="Arial"/>
                <w:b w:val="0"/>
                <w:bCs/>
                <w:sz w:val="20"/>
                <w:szCs w:val="20"/>
              </w:rPr>
              <w:t>-li do tohoto rejstříku zapsáni,</w:t>
            </w:r>
          </w:p>
          <w:p w:rsidR="007D2DB4" w:rsidRPr="007D2DB4" w:rsidRDefault="007D2DB4" w:rsidP="007D2DB4">
            <w:pPr>
              <w:pStyle w:val="TextBodyIndent"/>
              <w:tabs>
                <w:tab w:val="left" w:pos="5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D2DB4">
              <w:rPr>
                <w:rFonts w:ascii="Arial" w:hAnsi="Arial" w:cs="Arial"/>
                <w:bCs/>
                <w:sz w:val="20"/>
                <w:szCs w:val="20"/>
              </w:rPr>
              <w:t>Technické kvalifikační předpoklady:</w:t>
            </w:r>
          </w:p>
          <w:p w:rsidR="007D6460" w:rsidRDefault="007D6460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Z</w:t>
            </w:r>
            <w:r w:rsidR="00E62A5B" w:rsidRPr="00E62A5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adavatel požaduje, aby </w:t>
            </w:r>
            <w:r w:rsid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>min. jeden</w:t>
            </w:r>
            <w:r w:rsidR="0062513A"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člen realizačního týmu (servisní </w:t>
            </w:r>
            <w:proofErr w:type="spellStart"/>
            <w:r w:rsidR="0062513A"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>manager</w:t>
            </w:r>
            <w:proofErr w:type="spellEnd"/>
            <w:r w:rsidR="0062513A"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) </w:t>
            </w:r>
            <w:r w:rsidR="0062513A" w:rsidRPr="001B1409">
              <w:rPr>
                <w:rFonts w:ascii="Arial" w:hAnsi="Arial" w:cs="Arial"/>
                <w:b w:val="0"/>
                <w:bCs/>
                <w:sz w:val="20"/>
                <w:szCs w:val="20"/>
              </w:rPr>
              <w:t>měl</w:t>
            </w:r>
            <w:r w:rsidR="0062513A"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minimálně 3 roky praxe v oblasti poskytování služeb servisní podpory a rozvoje Identity Managementu</w:t>
            </w:r>
            <w:r w:rsidR="005C5D5A">
              <w:rPr>
                <w:rFonts w:ascii="Arial" w:hAnsi="Arial" w:cs="Arial"/>
                <w:b w:val="0"/>
                <w:bCs/>
                <w:sz w:val="20"/>
                <w:szCs w:val="20"/>
              </w:rPr>
              <w:t>,</w:t>
            </w:r>
            <w:r w:rsidR="0062513A"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podílel se alespoň na dvou projektech, které naplnily požadavky na referenční zakázku.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62513A" w:rsidRPr="0062513A" w:rsidRDefault="007D6460" w:rsidP="007D6460">
            <w:pPr>
              <w:pStyle w:val="TextBodyIndent"/>
              <w:tabs>
                <w:tab w:val="left" w:pos="525"/>
              </w:tabs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lastRenderedPageBreak/>
              <w:t xml:space="preserve">Referenční zakázkou se rozumí zakázka na implementaci Identity Managementu v obdobném rozsahu, jaký je specifikován v příloze </w:t>
            </w:r>
            <w:proofErr w:type="gramStart"/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č.1 – Požadavky</w:t>
            </w:r>
            <w:proofErr w:type="gramEnd"/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na obsah smlouvy ze strany zadavatele (minimální hodnota referenční zakázky je 1,5 mil. Kč bez DPH), realizovaná v posledních 5 letech.</w:t>
            </w:r>
            <w:bookmarkStart w:id="0" w:name="_GoBack"/>
            <w:bookmarkEnd w:id="0"/>
          </w:p>
          <w:p w:rsidR="00E62A5B" w:rsidRPr="0062513A" w:rsidRDefault="0062513A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Zadavatel požaduje, aby </w:t>
            </w:r>
            <w:r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min. další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dva</w:t>
            </w:r>
            <w:r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členové realizačního týmu (servisní technici) </w:t>
            </w:r>
            <w:r w:rsidR="005C5D5A" w:rsidRPr="005C5D5A">
              <w:rPr>
                <w:rFonts w:ascii="Arial" w:hAnsi="Arial" w:cs="Arial"/>
                <w:b w:val="0"/>
                <w:bCs/>
                <w:sz w:val="20"/>
                <w:szCs w:val="20"/>
              </w:rPr>
              <w:t>měl</w:t>
            </w:r>
            <w:r w:rsidRPr="0062513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minimálně 1 rok praxe v oblasti poskytování služeb servisní podpory a rozvoje Identity managementu.</w:t>
            </w:r>
          </w:p>
          <w:p w:rsidR="006C26C2" w:rsidRDefault="006C26C2" w:rsidP="00CA3A99">
            <w:pPr>
              <w:pStyle w:val="TextBodyIndent"/>
              <w:tabs>
                <w:tab w:val="left" w:pos="525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Technick</w:t>
            </w:r>
            <w:r w:rsidR="00CA3A99">
              <w:rPr>
                <w:rFonts w:ascii="Arial" w:hAnsi="Arial" w:cs="Arial"/>
                <w:b w:val="0"/>
                <w:bCs/>
                <w:sz w:val="20"/>
                <w:szCs w:val="20"/>
              </w:rPr>
              <w:t>ou kvalifikaci dokládá uchazeč č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estným prohlášením se specifikací referenčních zaká</w:t>
            </w:r>
            <w:r w:rsidR="00CA3A99">
              <w:rPr>
                <w:rFonts w:ascii="Arial" w:hAnsi="Arial" w:cs="Arial"/>
                <w:b w:val="0"/>
                <w:bCs/>
                <w:sz w:val="20"/>
                <w:szCs w:val="20"/>
              </w:rPr>
              <w:t>zek.</w:t>
            </w:r>
          </w:p>
          <w:p w:rsidR="006C26C2" w:rsidRPr="00E62A5B" w:rsidRDefault="006C26C2" w:rsidP="00CA3A99">
            <w:pPr>
              <w:pStyle w:val="TextBodyIndent"/>
              <w:tabs>
                <w:tab w:val="left" w:pos="525"/>
              </w:tabs>
              <w:ind w:left="3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86359D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a t</w:t>
            </w:r>
            <w:r w:rsidR="00555305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 w:rsidR="00662873"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86359D" w:rsidRDefault="0086359D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 w:rsidR="00662873"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A468EF" w:rsidRDefault="00555305" w:rsidP="001E69BC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240B0C">
              <w:rPr>
                <w:rFonts w:ascii="Arial" w:hAnsi="Arial" w:cs="Arial"/>
                <w:sz w:val="20"/>
                <w:szCs w:val="20"/>
              </w:rPr>
              <w:t>do</w:t>
            </w:r>
            <w:r w:rsidR="0086359D" w:rsidRPr="00240B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E69BC" w:rsidRPr="001E69B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6359D" w:rsidRPr="006104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042E" w:rsidRPr="00610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6359D" w:rsidRPr="00E8453E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C14A4" w:rsidRPr="00E8453E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  <w:r w:rsidRPr="00E8453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8453E" w:rsidRPr="00E8453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8453E">
              <w:rPr>
                <w:rFonts w:ascii="Arial" w:hAnsi="Arial" w:cs="Arial"/>
                <w:b/>
                <w:sz w:val="20"/>
                <w:szCs w:val="20"/>
              </w:rPr>
              <w:t>:00 hodin.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387996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podmínky</w:t>
            </w:r>
            <w:r w:rsidR="00405F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požadavky</w:t>
            </w:r>
            <w:r w:rsidR="00405F6C">
              <w:rPr>
                <w:rFonts w:ascii="Arial" w:hAnsi="Arial" w:cs="Arial"/>
                <w:sz w:val="20"/>
                <w:szCs w:val="20"/>
              </w:rPr>
              <w:t xml:space="preserve"> a informace</w:t>
            </w:r>
            <w:r>
              <w:rPr>
                <w:rFonts w:ascii="Arial" w:hAnsi="Arial" w:cs="Arial"/>
                <w:sz w:val="20"/>
                <w:szCs w:val="20"/>
              </w:rPr>
              <w:t xml:space="preserve"> zadavatele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8EF" w:rsidRDefault="007249FF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252C91" w:rsidRPr="007207C1">
              <w:rPr>
                <w:rFonts w:ascii="Arial" w:hAnsi="Arial" w:cs="Arial"/>
                <w:b/>
                <w:iCs w:val="0"/>
                <w:sz w:val="20"/>
                <w:szCs w:val="20"/>
              </w:rPr>
              <w:t>Poskytnutí technické podpory k internímu portálu pro správu identit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886BB2" w:rsidRDefault="00886BB2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případě, že zadávací podmínky obsahují požadavky nebo odkazy na obchodní firmy, názvy nebo jména a příjmení, specifická označení zboží a služeb, které platí pro určitou osobu, popřípadě její organizační složku za příznačné, patenty a vynálezy, užitné vzory, průmyslové vzory, ochranné známky nebo označení původu, umožňuje použití i jiných, kvalitativně a technicky obdobných řešení, které však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musí být jednotně </w:t>
            </w:r>
            <w:proofErr w:type="spellStart"/>
            <w:r w:rsidRPr="00861D06">
              <w:rPr>
                <w:rFonts w:ascii="Arial" w:hAnsi="Arial" w:cs="Arial"/>
                <w:sz w:val="20"/>
                <w:szCs w:val="20"/>
              </w:rPr>
              <w:t>administrovatelné</w:t>
            </w:r>
            <w:proofErr w:type="spellEnd"/>
            <w:r w:rsidRPr="00861D06">
              <w:rPr>
                <w:rFonts w:ascii="Arial" w:hAnsi="Arial" w:cs="Arial"/>
                <w:sz w:val="20"/>
                <w:szCs w:val="20"/>
              </w:rPr>
              <w:t xml:space="preserve"> a zcela kompatibilní v rámci stávajícího IT vybavení</w:t>
            </w:r>
            <w:r w:rsidR="00861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8EF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8EF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861D06">
              <w:rPr>
                <w:rFonts w:ascii="Arial" w:hAnsi="Arial" w:cs="Arial"/>
                <w:sz w:val="20"/>
                <w:szCs w:val="20"/>
              </w:rPr>
              <w:t>činí 1 </w:t>
            </w:r>
            <w:r w:rsidR="00187CBD" w:rsidRPr="00861D06">
              <w:rPr>
                <w:rFonts w:ascii="Arial" w:hAnsi="Arial" w:cs="Arial"/>
                <w:sz w:val="20"/>
                <w:szCs w:val="20"/>
              </w:rPr>
              <w:t>9</w:t>
            </w:r>
            <w:r w:rsidR="00B658B0">
              <w:rPr>
                <w:rFonts w:ascii="Arial" w:hAnsi="Arial" w:cs="Arial"/>
                <w:sz w:val="20"/>
                <w:szCs w:val="20"/>
              </w:rPr>
              <w:t>9</w:t>
            </w:r>
            <w:r w:rsidR="00161187">
              <w:rPr>
                <w:rFonts w:ascii="Arial" w:hAnsi="Arial" w:cs="Arial"/>
                <w:sz w:val="20"/>
                <w:szCs w:val="20"/>
              </w:rPr>
              <w:t>5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 tis.</w:t>
            </w:r>
            <w:r>
              <w:rPr>
                <w:rFonts w:ascii="Arial" w:hAnsi="Arial" w:cs="Arial"/>
                <w:sz w:val="20"/>
                <w:szCs w:val="20"/>
              </w:rPr>
              <w:t xml:space="preserve"> Kč bez DPH.</w:t>
            </w:r>
          </w:p>
          <w:p w:rsidR="0079085D" w:rsidRPr="0079085D" w:rsidRDefault="00555305" w:rsidP="0072656C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 w:after="24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ohledem na výši předpokládaných nákladů se nejedná o zadávací řízení dle zákona č. 13</w:t>
            </w:r>
            <w:r w:rsidR="0038799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387996">
              <w:rPr>
                <w:rFonts w:ascii="Arial" w:hAnsi="Arial" w:cs="Arial"/>
                <w:sz w:val="20"/>
                <w:szCs w:val="20"/>
              </w:rPr>
              <w:t>16 </w:t>
            </w:r>
            <w:r>
              <w:rPr>
                <w:rFonts w:ascii="Arial" w:hAnsi="Arial" w:cs="Arial"/>
                <w:sz w:val="20"/>
                <w:szCs w:val="20"/>
              </w:rPr>
              <w:t xml:space="preserve">Sb., o </w:t>
            </w:r>
            <w:r w:rsidR="0072656C">
              <w:rPr>
                <w:rFonts w:ascii="Arial" w:hAnsi="Arial" w:cs="Arial"/>
                <w:sz w:val="20"/>
                <w:szCs w:val="20"/>
              </w:rPr>
              <w:t xml:space="preserve">zadávání </w:t>
            </w:r>
            <w:r>
              <w:rPr>
                <w:rFonts w:ascii="Arial" w:hAnsi="Arial" w:cs="Arial"/>
                <w:sz w:val="20"/>
                <w:szCs w:val="20"/>
              </w:rPr>
              <w:t>veřejných zakáz</w:t>
            </w:r>
            <w:r w:rsidR="0072656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k, ve znění pozdějších předpisů.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2C6DFF" w:rsidRDefault="002C6DFF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79085D" w:rsidRDefault="002C6DFF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1D008A">
      <w:headerReference w:type="default" r:id="rId9"/>
      <w:footerReference w:type="default" r:id="rId10"/>
      <w:pgSz w:w="11906" w:h="16838"/>
      <w:pgMar w:top="1560" w:right="1106" w:bottom="709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8" w:rsidRDefault="00C117C8">
      <w:r>
        <w:separator/>
      </w:r>
    </w:p>
  </w:endnote>
  <w:endnote w:type="continuationSeparator" w:id="0">
    <w:p w:rsidR="00C117C8" w:rsidRDefault="00C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Pr="001D008A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PAGE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7D6460">
      <w:rPr>
        <w:rFonts w:ascii="Arial" w:hAnsi="Arial" w:cs="Arial"/>
        <w:noProof/>
        <w:sz w:val="20"/>
        <w:szCs w:val="20"/>
      </w:rPr>
      <w:t>1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>/</w:t>
    </w: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NUMPAGES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7D6460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8" w:rsidRDefault="00C117C8">
      <w:r>
        <w:separator/>
      </w:r>
    </w:p>
  </w:footnote>
  <w:footnote w:type="continuationSeparator" w:id="0">
    <w:p w:rsidR="00C117C8" w:rsidRDefault="00C1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19CEC" wp14:editId="5FCDFFD2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754B05"/>
    <w:multiLevelType w:val="hybridMultilevel"/>
    <w:tmpl w:val="9AA6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8972CF"/>
    <w:multiLevelType w:val="hybridMultilevel"/>
    <w:tmpl w:val="0E32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3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1384F"/>
    <w:rsid w:val="000517A3"/>
    <w:rsid w:val="000826F7"/>
    <w:rsid w:val="000B7060"/>
    <w:rsid w:val="000E6FB6"/>
    <w:rsid w:val="001041EA"/>
    <w:rsid w:val="0011210E"/>
    <w:rsid w:val="00145D8E"/>
    <w:rsid w:val="00147AC2"/>
    <w:rsid w:val="00161187"/>
    <w:rsid w:val="001720BF"/>
    <w:rsid w:val="00187CBD"/>
    <w:rsid w:val="001B1409"/>
    <w:rsid w:val="001D008A"/>
    <w:rsid w:val="001E69BC"/>
    <w:rsid w:val="00240B0C"/>
    <w:rsid w:val="00240B64"/>
    <w:rsid w:val="00251B02"/>
    <w:rsid w:val="0025285C"/>
    <w:rsid w:val="00252C91"/>
    <w:rsid w:val="00276BC1"/>
    <w:rsid w:val="002C6DFF"/>
    <w:rsid w:val="002E3B29"/>
    <w:rsid w:val="00370773"/>
    <w:rsid w:val="00387996"/>
    <w:rsid w:val="003F72F0"/>
    <w:rsid w:val="0040385B"/>
    <w:rsid w:val="00405F6C"/>
    <w:rsid w:val="0045078C"/>
    <w:rsid w:val="004E0C21"/>
    <w:rsid w:val="004F7303"/>
    <w:rsid w:val="00536733"/>
    <w:rsid w:val="00555305"/>
    <w:rsid w:val="00571FB7"/>
    <w:rsid w:val="005A2D71"/>
    <w:rsid w:val="005C5D5A"/>
    <w:rsid w:val="0061042E"/>
    <w:rsid w:val="0062513A"/>
    <w:rsid w:val="00662873"/>
    <w:rsid w:val="006769F1"/>
    <w:rsid w:val="006913F9"/>
    <w:rsid w:val="0069269F"/>
    <w:rsid w:val="006C17E8"/>
    <w:rsid w:val="006C26C2"/>
    <w:rsid w:val="006D1D9C"/>
    <w:rsid w:val="007207C1"/>
    <w:rsid w:val="00722901"/>
    <w:rsid w:val="007249FF"/>
    <w:rsid w:val="0072656C"/>
    <w:rsid w:val="00730A6C"/>
    <w:rsid w:val="00771020"/>
    <w:rsid w:val="0079085D"/>
    <w:rsid w:val="00794818"/>
    <w:rsid w:val="007B5493"/>
    <w:rsid w:val="007C03A4"/>
    <w:rsid w:val="007C6A31"/>
    <w:rsid w:val="007D2DB4"/>
    <w:rsid w:val="007D6460"/>
    <w:rsid w:val="00812CA3"/>
    <w:rsid w:val="00821F0C"/>
    <w:rsid w:val="00823F8F"/>
    <w:rsid w:val="00851E70"/>
    <w:rsid w:val="00861D06"/>
    <w:rsid w:val="0086359D"/>
    <w:rsid w:val="00882328"/>
    <w:rsid w:val="00886BB2"/>
    <w:rsid w:val="0089731A"/>
    <w:rsid w:val="008D03CD"/>
    <w:rsid w:val="009356BC"/>
    <w:rsid w:val="0095636A"/>
    <w:rsid w:val="0095673A"/>
    <w:rsid w:val="0098147B"/>
    <w:rsid w:val="00984410"/>
    <w:rsid w:val="009B0D61"/>
    <w:rsid w:val="00A07DD8"/>
    <w:rsid w:val="00A468EF"/>
    <w:rsid w:val="00A72594"/>
    <w:rsid w:val="00A920EE"/>
    <w:rsid w:val="00AC14A4"/>
    <w:rsid w:val="00AC200A"/>
    <w:rsid w:val="00AD5792"/>
    <w:rsid w:val="00AE0418"/>
    <w:rsid w:val="00B05624"/>
    <w:rsid w:val="00B50FA7"/>
    <w:rsid w:val="00B561CD"/>
    <w:rsid w:val="00B658B0"/>
    <w:rsid w:val="00B76545"/>
    <w:rsid w:val="00B854FA"/>
    <w:rsid w:val="00BB6F64"/>
    <w:rsid w:val="00C04605"/>
    <w:rsid w:val="00C117C8"/>
    <w:rsid w:val="00C977E5"/>
    <w:rsid w:val="00CA3A99"/>
    <w:rsid w:val="00CA4234"/>
    <w:rsid w:val="00CE2083"/>
    <w:rsid w:val="00CE6AA4"/>
    <w:rsid w:val="00D0707C"/>
    <w:rsid w:val="00D100BA"/>
    <w:rsid w:val="00D400AE"/>
    <w:rsid w:val="00D512F4"/>
    <w:rsid w:val="00D8592D"/>
    <w:rsid w:val="00D913BA"/>
    <w:rsid w:val="00D92EAB"/>
    <w:rsid w:val="00D94A8B"/>
    <w:rsid w:val="00DD5F00"/>
    <w:rsid w:val="00DD6A88"/>
    <w:rsid w:val="00DF50B4"/>
    <w:rsid w:val="00E06266"/>
    <w:rsid w:val="00E22B1C"/>
    <w:rsid w:val="00E62A5B"/>
    <w:rsid w:val="00E679B2"/>
    <w:rsid w:val="00E8453E"/>
    <w:rsid w:val="00EA0C40"/>
    <w:rsid w:val="00EB49CD"/>
    <w:rsid w:val="00EC36EE"/>
    <w:rsid w:val="00EC6212"/>
    <w:rsid w:val="00EE374A"/>
    <w:rsid w:val="00F340EE"/>
    <w:rsid w:val="00FC46DE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76CB-8FA0-4FD5-BECA-4BF5F5E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17</cp:revision>
  <cp:lastPrinted>2014-10-31T10:39:00Z</cp:lastPrinted>
  <dcterms:created xsi:type="dcterms:W3CDTF">2017-02-07T09:52:00Z</dcterms:created>
  <dcterms:modified xsi:type="dcterms:W3CDTF">2017-03-23T13:10:00Z</dcterms:modified>
  <dc:language>en-US</dc:language>
</cp:coreProperties>
</file>