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55"/>
      </w:tblGrid>
      <w:tr w:rsidR="002D4740" w:rsidRPr="00976E2F" w:rsidTr="00E66AFB">
        <w:trPr>
          <w:cantSplit/>
          <w:trHeight w:val="155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Default="002D4740" w:rsidP="006C090C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976E2F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Zadávací dokumentace</w:t>
            </w:r>
          </w:p>
          <w:p w:rsidR="009F2232" w:rsidRPr="009F2232" w:rsidRDefault="009F2232" w:rsidP="00A5684A">
            <w:r w:rsidRPr="00175B9C">
              <w:rPr>
                <w:rFonts w:ascii="Arial" w:hAnsi="Arial" w:cs="Arial"/>
                <w:b/>
              </w:rPr>
              <w:t xml:space="preserve">k veřejné zakázce malého rozsahu v souladu s § 6, § 12 odst. 3 a § 18 odst. </w:t>
            </w:r>
            <w:r w:rsidR="00A5684A">
              <w:rPr>
                <w:rFonts w:ascii="Arial" w:hAnsi="Arial" w:cs="Arial"/>
                <w:b/>
              </w:rPr>
              <w:t>5</w:t>
            </w:r>
            <w:r w:rsidRPr="00175B9C">
              <w:rPr>
                <w:rFonts w:ascii="Arial" w:hAnsi="Arial" w:cs="Arial"/>
                <w:b/>
              </w:rPr>
              <w:t xml:space="preserve"> zákona č. 137/2006 Sb., o veřejných zakázkách, v platném znění (dále jen „zákon“)</w:t>
            </w:r>
          </w:p>
        </w:tc>
      </w:tr>
      <w:tr w:rsidR="002D47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2D4740" w:rsidRPr="00976E2F" w:rsidRDefault="002D4740" w:rsidP="006C090C">
            <w:pPr>
              <w:pStyle w:val="Zkladntext"/>
              <w:framePr w:hSpace="0" w:wrap="auto" w:hAnchor="text" w:xAlign="left" w:yAlign="in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555" w:type="dxa"/>
            <w:vAlign w:val="center"/>
          </w:tcPr>
          <w:p w:rsidR="002D4740" w:rsidRPr="00C260E2" w:rsidRDefault="00C260E2" w:rsidP="009C7C01">
            <w:pPr>
              <w:pStyle w:val="zklad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C260E2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Poskytnutí technické podpory k softwarovým produktům </w:t>
            </w:r>
            <w:proofErr w:type="spellStart"/>
            <w:r w:rsidRPr="00C260E2">
              <w:rPr>
                <w:rFonts w:ascii="Arial" w:hAnsi="Arial" w:cs="Arial"/>
                <w:b/>
                <w:iCs w:val="0"/>
                <w:sz w:val="20"/>
                <w:szCs w:val="20"/>
              </w:rPr>
              <w:t>Oracle</w:t>
            </w:r>
            <w:proofErr w:type="spellEnd"/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9F2232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9F2232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12135D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9F2232" w:rsidRPr="00976E2F" w:rsidTr="00105D82">
        <w:trPr>
          <w:trHeight w:val="614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555" w:type="dxa"/>
            <w:vAlign w:val="center"/>
          </w:tcPr>
          <w:p w:rsidR="00674C67" w:rsidRDefault="00674C67" w:rsidP="0067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85F1C">
              <w:rPr>
                <w:rFonts w:ascii="Arial" w:hAnsi="Arial" w:cs="Arial"/>
                <w:sz w:val="20"/>
                <w:szCs w:val="20"/>
              </w:rPr>
              <w:t>Martin Honajzer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.net a.s., Hájkova 1100/13, </w:t>
            </w:r>
          </w:p>
          <w:p w:rsidR="009F2232" w:rsidRPr="00F00429" w:rsidRDefault="00674C67" w:rsidP="0067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491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9F2232"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5" w:type="dxa"/>
            <w:vAlign w:val="center"/>
          </w:tcPr>
          <w:p w:rsidR="009F2232" w:rsidRPr="00F00429" w:rsidRDefault="00327DF7" w:rsidP="00E85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</w:t>
            </w:r>
            <w:r w:rsidR="003B4077">
              <w:rPr>
                <w:rFonts w:ascii="Arial" w:hAnsi="Arial" w:cs="Arial"/>
                <w:sz w:val="20"/>
                <w:szCs w:val="20"/>
              </w:rPr>
              <w:t> </w:t>
            </w:r>
            <w:r w:rsidR="0049107F">
              <w:rPr>
                <w:rFonts w:ascii="Arial" w:hAnsi="Arial" w:cs="Arial"/>
                <w:sz w:val="20"/>
                <w:szCs w:val="20"/>
              </w:rPr>
              <w:t>6</w:t>
            </w:r>
            <w:r w:rsidR="00E85F1C">
              <w:rPr>
                <w:rFonts w:ascii="Arial" w:hAnsi="Arial" w:cs="Arial"/>
                <w:sz w:val="20"/>
                <w:szCs w:val="20"/>
              </w:rPr>
              <w:t>50</w:t>
            </w:r>
            <w:r w:rsidR="003B40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5F1C">
              <w:rPr>
                <w:rFonts w:ascii="Arial" w:hAnsi="Arial" w:cs="Arial"/>
                <w:sz w:val="20"/>
                <w:szCs w:val="20"/>
              </w:rPr>
              <w:t>734 262 750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55" w:type="dxa"/>
            <w:vAlign w:val="center"/>
          </w:tcPr>
          <w:p w:rsidR="009F2232" w:rsidRPr="0047748F" w:rsidRDefault="00E85F1C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honajzer</w:t>
            </w:r>
            <w:r w:rsidR="0049107F">
              <w:rPr>
                <w:rFonts w:ascii="Arial" w:hAnsi="Arial" w:cs="Arial"/>
                <w:sz w:val="20"/>
                <w:szCs w:val="20"/>
              </w:rPr>
              <w:t>@ovacloud.net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EF519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2D4740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bottom w:val="nil"/>
            </w:tcBorders>
          </w:tcPr>
          <w:p w:rsidR="008227EC" w:rsidRDefault="008227EC" w:rsidP="008227EC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0728A5" w:rsidRDefault="000728A5" w:rsidP="00C260E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260E2" w:rsidRDefault="000C3BFB" w:rsidP="00C260E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24D2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</w:t>
            </w:r>
            <w:r w:rsidR="00C260E2" w:rsidRPr="00C260E2">
              <w:rPr>
                <w:rFonts w:ascii="Arial" w:hAnsi="Arial" w:cs="Arial"/>
                <w:iCs/>
                <w:sz w:val="20"/>
                <w:szCs w:val="20"/>
              </w:rPr>
              <w:t>poskytnutí technické podpory</w:t>
            </w:r>
            <w:r w:rsidR="00F44C6C">
              <w:rPr>
                <w:rFonts w:ascii="Arial" w:hAnsi="Arial" w:cs="Arial"/>
                <w:iCs/>
                <w:sz w:val="20"/>
                <w:szCs w:val="20"/>
              </w:rPr>
              <w:t xml:space="preserve"> k softwarovým produktům </w:t>
            </w:r>
            <w:proofErr w:type="spellStart"/>
            <w:r w:rsidR="00F44C6C">
              <w:rPr>
                <w:rFonts w:ascii="Arial" w:hAnsi="Arial" w:cs="Arial"/>
                <w:iCs/>
                <w:sz w:val="20"/>
                <w:szCs w:val="20"/>
              </w:rPr>
              <w:t>Oracle</w:t>
            </w:r>
            <w:proofErr w:type="spellEnd"/>
            <w:r w:rsidR="00D005E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005EC" w:rsidRDefault="00D005EC" w:rsidP="00C260E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9107F" w:rsidRDefault="00C260E2" w:rsidP="0049107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Specifikace SW produktů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Oracle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AE375C" w:rsidRDefault="00AE375C" w:rsidP="0049107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134"/>
              <w:gridCol w:w="1134"/>
              <w:gridCol w:w="1414"/>
            </w:tblGrid>
            <w:tr w:rsidR="00BA1970" w:rsidTr="00F62A50">
              <w:trPr>
                <w:trHeight w:val="762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Produkt/Licence typ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Počet uživatelů/ procesorů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CSI</w:t>
                  </w:r>
                </w:p>
              </w:tc>
              <w:tc>
                <w:tcPr>
                  <w:tcW w:w="1414" w:type="dxa"/>
                  <w:vAlign w:val="center"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Support</w:t>
                  </w: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D9D9D9" w:themeFill="background1" w:themeFillShade="D9"/>
                  <w:noWrap/>
                  <w:vAlign w:val="center"/>
                </w:tcPr>
                <w:p w:rsidR="00BA1970" w:rsidRPr="009C5E2A" w:rsidRDefault="00BA1970" w:rsidP="00AE375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5E2A">
                    <w:rPr>
                      <w:rFonts w:ascii="Arial" w:hAnsi="Arial" w:cs="Arial"/>
                      <w:b/>
                      <w:sz w:val="20"/>
                      <w:szCs w:val="20"/>
                    </w:rPr>
                    <w:t>Část 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noWrap/>
                  <w:vAlign w:val="bottom"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bottom"/>
                </w:tcPr>
                <w:p w:rsidR="00BA1970" w:rsidRPr="000D145C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  <w:lang w:eastAsia="ar-SA"/>
                    </w:rPr>
                  </w:pPr>
                </w:p>
              </w:tc>
              <w:tc>
                <w:tcPr>
                  <w:tcW w:w="1414" w:type="dxa"/>
                  <w:shd w:val="clear" w:color="auto" w:fill="D9D9D9" w:themeFill="background1" w:themeFillShade="D9"/>
                  <w:vAlign w:val="center"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noWrap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Personal Edition - Named User Single Server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D145C">
                    <w:rPr>
                      <w:rFonts w:ascii="Arial" w:hAnsi="Arial" w:cs="Arial"/>
                      <w:sz w:val="20"/>
                      <w:lang w:eastAsia="ar-SA"/>
                    </w:rPr>
                    <w:t>3077995</w:t>
                  </w:r>
                </w:p>
              </w:tc>
              <w:tc>
                <w:tcPr>
                  <w:tcW w:w="1414" w:type="dxa"/>
                  <w:vMerge w:val="restart"/>
                  <w:vAlign w:val="center"/>
                </w:tcPr>
                <w:p w:rsidR="00BA1970" w:rsidRPr="00377344" w:rsidRDefault="00BA1970" w:rsidP="00AE375C">
                  <w:pPr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</w:pP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11.12.201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5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 xml:space="preserve"> – 10.12.201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6</w:t>
                  </w: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noWrap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Universal Power Unit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1440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D145C">
                    <w:rPr>
                      <w:rFonts w:ascii="Arial" w:hAnsi="Arial" w:cs="Arial"/>
                      <w:sz w:val="20"/>
                      <w:lang w:eastAsia="ar-SA"/>
                    </w:rPr>
                    <w:t>3078440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13605423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Standard Edition One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14281357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Internet Application Server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3630406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Named User Plus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13462284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13462284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3630406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Named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14815402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14643646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18788030</w:t>
                  </w:r>
                </w:p>
              </w:tc>
              <w:tc>
                <w:tcPr>
                  <w:tcW w:w="1414" w:type="dxa"/>
                  <w:vMerge/>
                  <w:tcBorders>
                    <w:bottom w:val="single" w:sz="4" w:space="0" w:color="000000"/>
                  </w:tcBorders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E375C" w:rsidRDefault="00AE375C"/>
          <w:p w:rsidR="00AE375C" w:rsidRDefault="00AE375C"/>
          <w:tbl>
            <w:tblPr>
              <w:tblW w:w="9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134"/>
              <w:gridCol w:w="1134"/>
              <w:gridCol w:w="1227"/>
              <w:gridCol w:w="205"/>
            </w:tblGrid>
            <w:tr w:rsidR="00AE375C" w:rsidTr="00F62A50">
              <w:trPr>
                <w:trHeight w:val="454"/>
              </w:trPr>
              <w:tc>
                <w:tcPr>
                  <w:tcW w:w="5457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AE375C" w:rsidRPr="00AB2FE7" w:rsidRDefault="00AE375C" w:rsidP="00830CE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Část B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AE375C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:rsidR="00AE375C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</w:tcPr>
                <w:p w:rsidR="00AE375C" w:rsidRPr="00354EC3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E375C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Asset Management, SPE - Selected Add-on - Application User Perpetual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:rsidR="00BA1970" w:rsidRPr="00377344" w:rsidRDefault="00BA1970" w:rsidP="00BF197E">
                  <w:pPr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19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.1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2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.201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5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 xml:space="preserve"> – 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8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.12.201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6</w:t>
                  </w: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Correspondence,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CRM Service Base, Professional Edition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CRM Service Base, SPE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CTI,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eService, SPE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Field Service, SPE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HelpDesk Online,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SmartScript,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Solutions,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Time and Expense Reporting,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Tools Complete, SPE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40F0C" w:rsidRPr="00CB63BE" w:rsidRDefault="00840F0C" w:rsidP="00D13D40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6B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C" w:rsidRDefault="00AE375C" w:rsidP="006C001C">
            <w:pPr>
              <w:pStyle w:val="Zkladntextodsazen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77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1B29B3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1B29B3" w:rsidRPr="00976E2F" w:rsidTr="001B29B3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B3" w:rsidRPr="00976E2F" w:rsidRDefault="001B29B3" w:rsidP="001B29B3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9C5"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outsourcingu.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2D474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Pr="00797AB0" w:rsidRDefault="002D4740" w:rsidP="00797AB0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7AB0">
              <w:rPr>
                <w:rFonts w:ascii="Arial" w:hAnsi="Arial" w:cs="Arial"/>
                <w:sz w:val="20"/>
                <w:szCs w:val="20"/>
              </w:rPr>
              <w:t>Hodnocení nabídek k veřejné zakázce bude probíhat podle kritéria:</w:t>
            </w:r>
          </w:p>
          <w:p w:rsidR="002D4740" w:rsidRPr="00455C57" w:rsidRDefault="00455C57" w:rsidP="008722C7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55C57">
              <w:rPr>
                <w:rFonts w:ascii="Arial" w:hAnsi="Arial" w:cs="Arial"/>
                <w:b/>
                <w:sz w:val="20"/>
                <w:szCs w:val="20"/>
              </w:rPr>
              <w:t>nejnižší nabídková cena bez DPH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2D474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B4077" w:rsidRDefault="003B4077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3B4077" w:rsidRDefault="003B4077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DE527E"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>bude cenou nejvýše přípustnou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.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2C1924">
              <w:rPr>
                <w:rFonts w:ascii="Arial" w:hAnsi="Arial" w:cs="Arial"/>
                <w:iCs w:val="0"/>
                <w:sz w:val="20"/>
                <w:szCs w:val="20"/>
              </w:rPr>
              <w:t>Do nabídkové ceny zahrne uchazeč veškeré práce či související služby, nezbytné pro kvalitní provedení plnění.</w:t>
            </w:r>
          </w:p>
          <w:p w:rsidR="003B4077" w:rsidRPr="002C1924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Zadava</w:t>
            </w:r>
            <w:r>
              <w:rPr>
                <w:rFonts w:ascii="Arial" w:hAnsi="Arial" w:cs="Arial"/>
                <w:sz w:val="20"/>
                <w:szCs w:val="20"/>
              </w:rPr>
              <w:t xml:space="preserve">tel požaduje, aby uchazeč </w:t>
            </w:r>
            <w:r w:rsidRPr="002C1924">
              <w:rPr>
                <w:rFonts w:ascii="Arial" w:hAnsi="Arial" w:cs="Arial"/>
                <w:sz w:val="20"/>
                <w:szCs w:val="20"/>
              </w:rPr>
              <w:t xml:space="preserve">v nabídce uvedl nabídkovou cenu za </w:t>
            </w:r>
            <w:r>
              <w:rPr>
                <w:rFonts w:ascii="Arial" w:hAnsi="Arial" w:cs="Arial"/>
                <w:sz w:val="20"/>
                <w:szCs w:val="20"/>
              </w:rPr>
              <w:t xml:space="preserve">celkové plnění </w:t>
            </w:r>
            <w:r w:rsidRPr="002C1924">
              <w:rPr>
                <w:rFonts w:ascii="Arial" w:hAnsi="Arial" w:cs="Arial"/>
                <w:sz w:val="20"/>
                <w:szCs w:val="20"/>
              </w:rPr>
              <w:t>jako cenu v Kč v tomto členění:</w:t>
            </w:r>
          </w:p>
          <w:p w:rsidR="003B4077" w:rsidRPr="002C1924" w:rsidRDefault="003B4077" w:rsidP="003B4077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Nabídková cena bez DPH, </w:t>
            </w:r>
          </w:p>
          <w:p w:rsidR="003B4077" w:rsidRPr="002C1924" w:rsidRDefault="003B4077" w:rsidP="003B4077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3B4077" w:rsidRDefault="003B4077" w:rsidP="003B4077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3B4077" w:rsidRPr="009C2559" w:rsidRDefault="003B4077" w:rsidP="003B4077">
            <w:pPr>
              <w:spacing w:before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C2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Platební podmínky:</w:t>
            </w:r>
          </w:p>
          <w:p w:rsidR="003B4077" w:rsidRPr="00976E2F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</w:p>
          <w:p w:rsidR="00015D84" w:rsidRDefault="00015D84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cena bude rovnoměrně rozdělena do 5 </w:t>
            </w:r>
            <w:r w:rsidR="00380F77">
              <w:rPr>
                <w:rFonts w:ascii="Arial" w:hAnsi="Arial" w:cs="Arial"/>
                <w:sz w:val="20"/>
                <w:szCs w:val="20"/>
              </w:rPr>
              <w:t>splátek dle platebního kalendáře</w:t>
            </w:r>
            <w:r w:rsidR="00776F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077" w:rsidRPr="00976E2F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 xml:space="preserve">Doba splatnosti daňových dokladů bude stanovena na 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2D4740" w:rsidRPr="00D27A72" w:rsidRDefault="003B4077" w:rsidP="00ED4370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a obchodní podmínky</w:t>
            </w:r>
            <w:r w:rsidRPr="00002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370">
              <w:rPr>
                <w:rFonts w:ascii="Arial" w:hAnsi="Arial" w:cs="Arial"/>
                <w:sz w:val="20"/>
                <w:szCs w:val="20"/>
              </w:rPr>
              <w:t>uvede zadavatel</w:t>
            </w:r>
            <w:r w:rsidRPr="00002C26">
              <w:rPr>
                <w:rFonts w:ascii="Arial" w:hAnsi="Arial" w:cs="Arial"/>
                <w:sz w:val="20"/>
                <w:szCs w:val="20"/>
              </w:rPr>
              <w:t xml:space="preserve"> v požadavcích na obsah smlouvy</w:t>
            </w:r>
            <w:r w:rsidR="00015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1970" w:rsidRDefault="00BA197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70" w:rsidRDefault="00BA1970" w:rsidP="00F62A50">
            <w:pPr>
              <w:pStyle w:val="Zkladntextodsaze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smlouvy, které jsou uvedeny</w:t>
            </w:r>
            <w:r w:rsidRPr="006E3A5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 příloze č. </w:t>
            </w:r>
            <w:r w:rsidR="00F62A5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zadávací dokumentace.</w:t>
            </w:r>
          </w:p>
        </w:tc>
      </w:tr>
      <w:tr w:rsidR="003B407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3B4077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3B4077" w:rsidRPr="00976E2F" w:rsidTr="003B4077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077" w:rsidRDefault="003B4077" w:rsidP="00D67996">
            <w:pPr>
              <w:pStyle w:val="Nadpis1"/>
              <w:framePr w:hSpace="0" w:wrap="auto" w:hAnchor="text" w:xAlign="left" w:yAlign="inline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CC4"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  <w:p w:rsidR="00F62A50" w:rsidRPr="00F62A50" w:rsidRDefault="00F62A50" w:rsidP="00F62A50"/>
        </w:tc>
      </w:tr>
      <w:tr w:rsidR="00951433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51433" w:rsidRPr="00976E2F" w:rsidRDefault="00951433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Pokyny pro zpracování nabídky</w:t>
            </w:r>
          </w:p>
        </w:tc>
      </w:tr>
      <w:tr w:rsidR="003B407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3B4077" w:rsidRDefault="00BA1970" w:rsidP="00A818BA">
            <w:pPr>
              <w:pStyle w:val="Nadpis1"/>
              <w:framePr w:hSpace="0" w:wrap="auto" w:hAnchor="text" w:xAlign="left" w:yAlign="inline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BA1970" w:rsidRPr="00237236" w:rsidRDefault="00BA1970" w:rsidP="00BA1970">
            <w:pPr>
              <w:pStyle w:val="Nadpis1"/>
              <w:framePr w:wrap="around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Uchazeč použije pořadí dokumentů uvedené v následujících bodech tohoto článku zadávací dokumentace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BA1970" w:rsidRDefault="00BA1970" w:rsidP="00BA1970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Krycí list nabídky - pro sestavení krycího listu uchazeč použije přílohu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50">
              <w:rPr>
                <w:rFonts w:ascii="Arial" w:hAnsi="Arial" w:cs="Arial"/>
                <w:sz w:val="20"/>
                <w:szCs w:val="20"/>
              </w:rPr>
              <w:t>2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BA1970" w:rsidRDefault="00BA1970" w:rsidP="00BA1970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 xml:space="preserve">Doklady prokazující splnění kvalifikace dle bodu </w:t>
            </w:r>
            <w:r>
              <w:rPr>
                <w:rFonts w:ascii="Arial" w:hAnsi="Arial" w:cs="Arial"/>
                <w:sz w:val="20"/>
                <w:szCs w:val="20"/>
              </w:rPr>
              <w:t xml:space="preserve">VIII. </w:t>
            </w:r>
            <w:r w:rsidRPr="00237236">
              <w:rPr>
                <w:rFonts w:ascii="Arial" w:hAnsi="Arial" w:cs="Arial"/>
                <w:sz w:val="20"/>
                <w:szCs w:val="20"/>
              </w:rPr>
              <w:t>Zadávací dokumentace (Kvalifikační předpoklady).</w:t>
            </w:r>
          </w:p>
          <w:p w:rsid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BA1970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BA1970">
              <w:rPr>
                <w:rFonts w:ascii="Arial" w:hAnsi="Arial" w:cs="Arial"/>
                <w:sz w:val="20"/>
                <w:szCs w:val="20"/>
              </w:rPr>
              <w:t>. § 504 zákona č. 89/2012 Sb., občanský zákoník.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Prohlášení uchazeče o seznámení se s odkazy ve smlouvě podepsané oprávněnou osobou (příloha č.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273" w:rsidRP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Ostatní</w:t>
            </w:r>
          </w:p>
          <w:p w:rsidR="00BD6273" w:rsidRDefault="00BD6273" w:rsidP="00BD6273"/>
          <w:p w:rsidR="00BD6273" w:rsidRPr="00BD6273" w:rsidRDefault="00BD6273" w:rsidP="00BD6273"/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1970" w:rsidRDefault="00BA1970" w:rsidP="00BA1970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70" w:rsidRDefault="00BA1970" w:rsidP="00BA1970">
            <w:pPr>
              <w:pStyle w:val="Zkladntextodsazen"/>
              <w:tabs>
                <w:tab w:val="left" w:pos="525"/>
                <w:tab w:val="left" w:pos="1134"/>
              </w:tabs>
              <w:spacing w:after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3AB"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BA1970" w:rsidRPr="00BA1970" w:rsidRDefault="00BA1970" w:rsidP="00BA1970">
            <w:pPr>
              <w:pStyle w:val="Zkladntextodsazen"/>
              <w:numPr>
                <w:ilvl w:val="0"/>
                <w:numId w:val="38"/>
              </w:numPr>
              <w:tabs>
                <w:tab w:val="left" w:pos="52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BED"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 a</w:t>
            </w:r>
          </w:p>
          <w:p w:rsidR="00BA1970" w:rsidRPr="00BA1970" w:rsidRDefault="00BA1970" w:rsidP="00BA1970">
            <w:pPr>
              <w:pStyle w:val="Zkladntextodsazen"/>
              <w:numPr>
                <w:ilvl w:val="0"/>
                <w:numId w:val="38"/>
              </w:numPr>
              <w:tabs>
                <w:tab w:val="left" w:pos="52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BED"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jste-li do tohoto rejstříku zapsáni.</w:t>
            </w:r>
          </w:p>
          <w:p w:rsidR="00BA1970" w:rsidRDefault="00BA1970" w:rsidP="00F62A50">
            <w:pPr>
              <w:pStyle w:val="Zkladntextodsazen"/>
              <w:tabs>
                <w:tab w:val="left" w:pos="525"/>
              </w:tabs>
              <w:spacing w:after="0"/>
              <w:ind w:left="12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7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BA1970" w:rsidP="00BA1970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a t</w:t>
            </w:r>
            <w:r w:rsidR="003B4077" w:rsidRPr="00F00429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3B407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A1970" w:rsidRDefault="00BA1970" w:rsidP="00BA1970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1970" w:rsidRDefault="00BA1970" w:rsidP="00BA1970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proofErr w:type="gramStart"/>
            <w:r w:rsidRPr="00526B66">
              <w:rPr>
                <w:rFonts w:ascii="Arial" w:hAnsi="Arial" w:cs="Arial"/>
                <w:b/>
                <w:sz w:val="20"/>
                <w:szCs w:val="20"/>
              </w:rPr>
              <w:t>OVA!!!CLOUD</w:t>
            </w:r>
            <w:proofErr w:type="gramEnd"/>
            <w:r w:rsidRPr="00526B66">
              <w:rPr>
                <w:rFonts w:ascii="Arial" w:hAnsi="Arial" w:cs="Arial"/>
                <w:b/>
                <w:sz w:val="20"/>
                <w:szCs w:val="20"/>
              </w:rPr>
              <w:t>.net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BA1970" w:rsidRDefault="00BA1970" w:rsidP="00BA1970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proofErr w:type="gramStart"/>
            <w:r w:rsidRPr="00526B66"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 w:rsidRPr="00526B66">
              <w:rPr>
                <w:rFonts w:ascii="Arial" w:hAnsi="Arial" w:cs="Arial"/>
                <w:sz w:val="20"/>
                <w:szCs w:val="20"/>
              </w:rPr>
              <w:t>.net a.s. v hodinách Po - Pá 8:00 – 17:00</w:t>
            </w:r>
          </w:p>
          <w:p w:rsidR="003B4077" w:rsidRPr="00CD6246" w:rsidRDefault="003B4077" w:rsidP="00723C81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6AD0"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AD0">
              <w:rPr>
                <w:rFonts w:ascii="Arial" w:hAnsi="Arial" w:cs="Arial"/>
                <w:sz w:val="20"/>
                <w:szCs w:val="20"/>
              </w:rPr>
              <w:t xml:space="preserve">je stanoven 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nejpozději do </w:t>
            </w:r>
            <w:r w:rsidR="00723C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B29B3" w:rsidRPr="00A97F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197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3C81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1B29B3" w:rsidRPr="00A97FE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0728A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97FE1">
              <w:rPr>
                <w:rFonts w:ascii="Arial" w:hAnsi="Arial" w:cs="Arial"/>
                <w:b/>
                <w:sz w:val="20"/>
                <w:szCs w:val="20"/>
              </w:rPr>
              <w:t>, 10:00 hodin.</w:t>
            </w:r>
          </w:p>
        </w:tc>
      </w:tr>
      <w:tr w:rsidR="003B407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3B4077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Další podmínky a požadavky zadavatele</w:t>
            </w:r>
          </w:p>
        </w:tc>
      </w:tr>
      <w:tr w:rsidR="003B4077" w:rsidRPr="00976E2F" w:rsidTr="00A83CCD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A1970" w:rsidRDefault="001B29B3" w:rsidP="00A83CCD">
            <w:pPr>
              <w:pStyle w:val="zklad"/>
              <w:numPr>
                <w:ilvl w:val="0"/>
                <w:numId w:val="41"/>
              </w:numPr>
              <w:spacing w:before="12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  <w:r w:rsidR="00BA1970" w:rsidRPr="00BA1970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</w:p>
          <w:p w:rsidR="001B29B3" w:rsidRPr="00BA1970" w:rsidRDefault="001B29B3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1B29B3" w:rsidRPr="00A818BA" w:rsidRDefault="00BA1970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Poskytnutí t</w:t>
            </w:r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>echnick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é</w:t>
            </w:r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podpor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y k softwarovým produktům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Oracle</w:t>
            </w:r>
            <w:proofErr w:type="spellEnd"/>
            <w:r w:rsidR="00487364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- NEOT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29B3" w:rsidRPr="00526B66" w:rsidRDefault="001B29B3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526B66"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1B29B3" w:rsidRPr="00F00429" w:rsidRDefault="001B29B3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1B29B3" w:rsidRDefault="001B29B3" w:rsidP="00BA1970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3CCD" w:rsidRDefault="00EA4BF9" w:rsidP="00A83CCD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28BA"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A97FE1">
              <w:rPr>
                <w:rFonts w:ascii="Arial" w:hAnsi="Arial" w:cs="Arial"/>
                <w:sz w:val="20"/>
                <w:szCs w:val="20"/>
              </w:rPr>
              <w:t>činí 1</w:t>
            </w:r>
            <w:r w:rsidR="00F62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921">
              <w:rPr>
                <w:rFonts w:ascii="Arial" w:hAnsi="Arial" w:cs="Arial"/>
                <w:sz w:val="20"/>
                <w:szCs w:val="20"/>
              </w:rPr>
              <w:t>7</w:t>
            </w:r>
            <w:r w:rsidR="00F62A50">
              <w:rPr>
                <w:rFonts w:ascii="Arial" w:hAnsi="Arial" w:cs="Arial"/>
                <w:sz w:val="20"/>
                <w:szCs w:val="20"/>
              </w:rPr>
              <w:t>05</w:t>
            </w:r>
            <w:r w:rsidRPr="00A97FE1">
              <w:rPr>
                <w:rFonts w:ascii="Arial" w:hAnsi="Arial" w:cs="Arial"/>
                <w:sz w:val="20"/>
                <w:szCs w:val="20"/>
              </w:rPr>
              <w:t> </w:t>
            </w:r>
            <w:r w:rsidR="00F62A50">
              <w:rPr>
                <w:rFonts w:ascii="Arial" w:hAnsi="Arial" w:cs="Arial"/>
                <w:sz w:val="20"/>
                <w:szCs w:val="20"/>
              </w:rPr>
              <w:t>tis.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 Kč bez DPH.</w:t>
            </w:r>
          </w:p>
          <w:p w:rsidR="003B4077" w:rsidRPr="00A83CCD" w:rsidRDefault="001B29B3" w:rsidP="00A83CCD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83CCD">
              <w:rPr>
                <w:rFonts w:ascii="Arial" w:hAnsi="Arial" w:cs="Arial"/>
                <w:sz w:val="20"/>
                <w:szCs w:val="20"/>
              </w:rPr>
              <w:t>S ohledem na výši předpokládaných nákladů se nejedná o zadávací řízení dle zákona č. 137/2006 Sb., o veřejných zakázkách, ve znění pozdějších předpisů</w:t>
            </w:r>
            <w:r w:rsidR="00782FB8" w:rsidRPr="00A83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3CCD" w:rsidRPr="00976E2F" w:rsidTr="00A83CCD">
        <w:trPr>
          <w:trHeight w:val="425"/>
          <w:jc w:val="center"/>
        </w:trPr>
        <w:tc>
          <w:tcPr>
            <w:tcW w:w="9540" w:type="dxa"/>
            <w:gridSpan w:val="2"/>
            <w:shd w:val="clear" w:color="auto" w:fill="BFBFBF" w:themeFill="background1" w:themeFillShade="BF"/>
            <w:vAlign w:val="center"/>
          </w:tcPr>
          <w:p w:rsidR="00A83CCD" w:rsidRPr="00F34DDA" w:rsidRDefault="00A83CCD" w:rsidP="00D16D65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4DDA"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83CCD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A83CCD" w:rsidRDefault="00A83CCD" w:rsidP="00D16D65">
            <w:pPr>
              <w:pStyle w:val="Zkladntextodsazen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6220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Požadavky na obsah smlouvy ze strany zadavatele - příloha č.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</w:p>
          <w:p w:rsidR="00A83CCD" w:rsidRDefault="00A83CCD" w:rsidP="00D16D65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Krycí list nabídky – příloha č. 2</w:t>
            </w:r>
          </w:p>
          <w:p w:rsidR="00A83CCD" w:rsidRPr="00BF452B" w:rsidRDefault="00A83CCD" w:rsidP="00A83CCD">
            <w:pPr>
              <w:pStyle w:val="Zkladntextodsazen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452B">
              <w:rPr>
                <w:rFonts w:ascii="Arial" w:hAnsi="Arial" w:cs="Arial"/>
                <w:b w:val="0"/>
                <w:iCs/>
                <w:sz w:val="20"/>
                <w:szCs w:val="20"/>
              </w:rPr>
              <w:t>Prohlášení uchazeče o seznámení se s odkazy ve smlouvě – příloha č.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3</w:t>
            </w:r>
          </w:p>
        </w:tc>
      </w:tr>
    </w:tbl>
    <w:p w:rsidR="002D4740" w:rsidRDefault="002D4740">
      <w:pPr>
        <w:rPr>
          <w:b/>
          <w:bCs/>
          <w:iCs/>
        </w:rPr>
      </w:pPr>
    </w:p>
    <w:sectPr w:rsidR="002D4740" w:rsidSect="00976E2F">
      <w:headerReference w:type="default" r:id="rId9"/>
      <w:footerReference w:type="default" r:id="rId10"/>
      <w:pgSz w:w="11906" w:h="16838" w:code="9"/>
      <w:pgMar w:top="1780" w:right="1106" w:bottom="1780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B" w:rsidRDefault="006573FB">
      <w:r>
        <w:separator/>
      </w:r>
    </w:p>
  </w:endnote>
  <w:endnote w:type="continuationSeparator" w:id="0">
    <w:p w:rsidR="006573FB" w:rsidRDefault="0065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Default="002D0BD2" w:rsidP="00E71559">
    <w:pPr>
      <w:pStyle w:val="Zpat"/>
      <w:tabs>
        <w:tab w:val="clear" w:pos="4536"/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2D0BD2" w:rsidRPr="00870D4E" w:rsidRDefault="002D0BD2" w:rsidP="002D0BD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723C81">
      <w:rPr>
        <w:rStyle w:val="slostrnky"/>
        <w:rFonts w:ascii="Arial" w:hAnsi="Arial" w:cs="Arial"/>
        <w:noProof/>
        <w:color w:val="003C69"/>
        <w:sz w:val="16"/>
      </w:rPr>
      <w:t>4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>/</w:t>
    </w: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723C81">
      <w:rPr>
        <w:rStyle w:val="slostrnky"/>
        <w:rFonts w:ascii="Arial" w:hAnsi="Arial" w:cs="Arial"/>
        <w:noProof/>
        <w:color w:val="003C69"/>
        <w:sz w:val="16"/>
      </w:rPr>
      <w:t>4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B" w:rsidRDefault="006573FB">
      <w:r>
        <w:separator/>
      </w:r>
    </w:p>
  </w:footnote>
  <w:footnote w:type="continuationSeparator" w:id="0">
    <w:p w:rsidR="006573FB" w:rsidRDefault="0065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Pr="006C090C" w:rsidRDefault="00A97FE1" w:rsidP="006C090C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2" w:rsidRPr="003444EB" w:rsidRDefault="002D0BD2" w:rsidP="002D0BD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444E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rsw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" filled="f" stroked="f">
              <v:textbox>
                <w:txbxContent>
                  <w:p w:rsidR="002D0BD2" w:rsidRPr="003444EB" w:rsidRDefault="002D0BD2" w:rsidP="002D0BD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444E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Zadávací dokumentace</w:t>
                    </w:r>
                  </w:p>
                </w:txbxContent>
              </v:textbox>
            </v:shape>
          </w:pict>
        </mc:Fallback>
      </mc:AlternateContent>
    </w:r>
  </w:p>
  <w:p w:rsidR="002D0BD2" w:rsidRDefault="002D0BD2" w:rsidP="002D0BD2">
    <w:pPr>
      <w:pStyle w:val="Zhlav"/>
    </w:pPr>
  </w:p>
  <w:p w:rsidR="002D0BD2" w:rsidRDefault="001129E2" w:rsidP="002D0BD2">
    <w:pPr>
      <w:pStyle w:val="Zhlav"/>
    </w:pPr>
    <w:r>
      <w:t xml:space="preserve">           </w:t>
    </w:r>
  </w:p>
  <w:p w:rsidR="002D0BD2" w:rsidRDefault="002D0B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2C9"/>
    <w:multiLevelType w:val="hybridMultilevel"/>
    <w:tmpl w:val="06EAB128"/>
    <w:lvl w:ilvl="0" w:tplc="DD802D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0A83585"/>
    <w:multiLevelType w:val="hybridMultilevel"/>
    <w:tmpl w:val="BFEC3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3494F"/>
    <w:multiLevelType w:val="hybridMultilevel"/>
    <w:tmpl w:val="7F6CE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3649"/>
    <w:multiLevelType w:val="hybridMultilevel"/>
    <w:tmpl w:val="CB983258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5344"/>
    <w:multiLevelType w:val="hybridMultilevel"/>
    <w:tmpl w:val="3BD012B2"/>
    <w:lvl w:ilvl="0" w:tplc="B7469D4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442D7B"/>
    <w:multiLevelType w:val="hybridMultilevel"/>
    <w:tmpl w:val="2548A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D1DA9"/>
    <w:multiLevelType w:val="hybridMultilevel"/>
    <w:tmpl w:val="081A2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03832"/>
    <w:multiLevelType w:val="hybridMultilevel"/>
    <w:tmpl w:val="CB983258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BD6E0C"/>
    <w:multiLevelType w:val="hybridMultilevel"/>
    <w:tmpl w:val="34DAD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E04E0"/>
    <w:multiLevelType w:val="hybridMultilevel"/>
    <w:tmpl w:val="BE56721E"/>
    <w:lvl w:ilvl="0" w:tplc="75885688">
      <w:start w:val="1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C1310"/>
    <w:multiLevelType w:val="hybridMultilevel"/>
    <w:tmpl w:val="BFA47BDC"/>
    <w:lvl w:ilvl="0" w:tplc="3E5A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012E3"/>
    <w:multiLevelType w:val="hybridMultilevel"/>
    <w:tmpl w:val="A9B05BCA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B2BC4"/>
    <w:multiLevelType w:val="hybridMultilevel"/>
    <w:tmpl w:val="C11E4BB4"/>
    <w:lvl w:ilvl="0" w:tplc="CAF256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77DE"/>
    <w:multiLevelType w:val="hybridMultilevel"/>
    <w:tmpl w:val="79CCF50E"/>
    <w:lvl w:ilvl="0" w:tplc="AFACFCEC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F110B"/>
    <w:multiLevelType w:val="hybridMultilevel"/>
    <w:tmpl w:val="5E66D6E6"/>
    <w:lvl w:ilvl="0" w:tplc="1494F6B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D6874"/>
    <w:multiLevelType w:val="multilevel"/>
    <w:tmpl w:val="8FCE7B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FD2630"/>
    <w:multiLevelType w:val="hybridMultilevel"/>
    <w:tmpl w:val="0D9A33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68202E"/>
    <w:multiLevelType w:val="hybridMultilevel"/>
    <w:tmpl w:val="DB10B5FE"/>
    <w:lvl w:ilvl="0" w:tplc="D258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428E"/>
    <w:multiLevelType w:val="hybridMultilevel"/>
    <w:tmpl w:val="1CBC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16CF"/>
    <w:multiLevelType w:val="hybridMultilevel"/>
    <w:tmpl w:val="7090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A5495"/>
    <w:multiLevelType w:val="hybridMultilevel"/>
    <w:tmpl w:val="E5FA2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6E6912"/>
    <w:multiLevelType w:val="hybridMultilevel"/>
    <w:tmpl w:val="B04010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74277B"/>
    <w:multiLevelType w:val="hybridMultilevel"/>
    <w:tmpl w:val="97D6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907D2"/>
    <w:multiLevelType w:val="hybridMultilevel"/>
    <w:tmpl w:val="4254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042E0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C03127C"/>
    <w:multiLevelType w:val="hybridMultilevel"/>
    <w:tmpl w:val="AA0622FA"/>
    <w:lvl w:ilvl="0" w:tplc="DABE33BC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8">
    <w:nsid w:val="41133F1E"/>
    <w:multiLevelType w:val="hybridMultilevel"/>
    <w:tmpl w:val="75D85740"/>
    <w:lvl w:ilvl="0" w:tplc="9162F26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0"/>
        <w:szCs w:val="20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681C1D"/>
    <w:multiLevelType w:val="hybridMultilevel"/>
    <w:tmpl w:val="6D20D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AAD"/>
    <w:multiLevelType w:val="hybridMultilevel"/>
    <w:tmpl w:val="A4A862C8"/>
    <w:lvl w:ilvl="0" w:tplc="E9D660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F3B15"/>
    <w:multiLevelType w:val="hybridMultilevel"/>
    <w:tmpl w:val="7CEAAF60"/>
    <w:lvl w:ilvl="0" w:tplc="6994F03A">
      <w:start w:val="3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D1EC1"/>
    <w:multiLevelType w:val="hybridMultilevel"/>
    <w:tmpl w:val="0B32E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4677A"/>
    <w:multiLevelType w:val="hybridMultilevel"/>
    <w:tmpl w:val="2222FAA0"/>
    <w:lvl w:ilvl="0" w:tplc="48C4F50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1182B32"/>
    <w:multiLevelType w:val="hybridMultilevel"/>
    <w:tmpl w:val="9F006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84123"/>
    <w:multiLevelType w:val="hybridMultilevel"/>
    <w:tmpl w:val="1AA80C3E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60511"/>
    <w:multiLevelType w:val="hybridMultilevel"/>
    <w:tmpl w:val="3CCE0256"/>
    <w:lvl w:ilvl="0" w:tplc="73C8401A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97FF4"/>
    <w:multiLevelType w:val="hybridMultilevel"/>
    <w:tmpl w:val="BBB23E54"/>
    <w:lvl w:ilvl="0" w:tplc="9B4EA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42D"/>
    <w:multiLevelType w:val="hybridMultilevel"/>
    <w:tmpl w:val="38629A7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C4A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E73A6"/>
    <w:multiLevelType w:val="hybridMultilevel"/>
    <w:tmpl w:val="CC162792"/>
    <w:lvl w:ilvl="0" w:tplc="9162F2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38"/>
  </w:num>
  <w:num w:numId="4">
    <w:abstractNumId w:val="26"/>
  </w:num>
  <w:num w:numId="5">
    <w:abstractNumId w:val="11"/>
  </w:num>
  <w:num w:numId="6">
    <w:abstractNumId w:val="31"/>
  </w:num>
  <w:num w:numId="7">
    <w:abstractNumId w:val="16"/>
  </w:num>
  <w:num w:numId="8">
    <w:abstractNumId w:val="0"/>
  </w:num>
  <w:num w:numId="9">
    <w:abstractNumId w:val="3"/>
  </w:num>
  <w:num w:numId="10">
    <w:abstractNumId w:val="25"/>
  </w:num>
  <w:num w:numId="11">
    <w:abstractNumId w:val="18"/>
  </w:num>
  <w:num w:numId="12">
    <w:abstractNumId w:val="23"/>
  </w:num>
  <w:num w:numId="13">
    <w:abstractNumId w:val="10"/>
  </w:num>
  <w:num w:numId="14">
    <w:abstractNumId w:val="24"/>
  </w:num>
  <w:num w:numId="15">
    <w:abstractNumId w:val="4"/>
  </w:num>
  <w:num w:numId="16">
    <w:abstractNumId w:val="35"/>
  </w:num>
  <w:num w:numId="17">
    <w:abstractNumId w:val="8"/>
  </w:num>
  <w:num w:numId="18">
    <w:abstractNumId w:val="1"/>
  </w:num>
  <w:num w:numId="19">
    <w:abstractNumId w:val="19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29"/>
  </w:num>
  <w:num w:numId="26">
    <w:abstractNumId w:val="17"/>
  </w:num>
  <w:num w:numId="27">
    <w:abstractNumId w:val="5"/>
  </w:num>
  <w:num w:numId="28">
    <w:abstractNumId w:val="7"/>
  </w:num>
  <w:num w:numId="29">
    <w:abstractNumId w:val="34"/>
  </w:num>
  <w:num w:numId="30">
    <w:abstractNumId w:val="21"/>
  </w:num>
  <w:num w:numId="31">
    <w:abstractNumId w:val="32"/>
  </w:num>
  <w:num w:numId="32">
    <w:abstractNumId w:val="36"/>
  </w:num>
  <w:num w:numId="33">
    <w:abstractNumId w:val="28"/>
    <w:lvlOverride w:ilvl="0">
      <w:startOverride w:val="1"/>
    </w:lvlOverride>
  </w:num>
  <w:num w:numId="34">
    <w:abstractNumId w:val="12"/>
  </w:num>
  <w:num w:numId="35">
    <w:abstractNumId w:val="30"/>
  </w:num>
  <w:num w:numId="36">
    <w:abstractNumId w:val="13"/>
  </w:num>
  <w:num w:numId="37">
    <w:abstractNumId w:val="39"/>
  </w:num>
  <w:num w:numId="38">
    <w:abstractNumId w:val="27"/>
  </w:num>
  <w:num w:numId="39">
    <w:abstractNumId w:val="9"/>
  </w:num>
  <w:num w:numId="40">
    <w:abstractNumId w:val="33"/>
  </w:num>
  <w:num w:numId="41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2"/>
    <w:rsid w:val="00004B03"/>
    <w:rsid w:val="00007484"/>
    <w:rsid w:val="0001015E"/>
    <w:rsid w:val="00015D84"/>
    <w:rsid w:val="00032A19"/>
    <w:rsid w:val="0004297B"/>
    <w:rsid w:val="0005376C"/>
    <w:rsid w:val="00061B45"/>
    <w:rsid w:val="00064575"/>
    <w:rsid w:val="000728A5"/>
    <w:rsid w:val="00072A5B"/>
    <w:rsid w:val="00092081"/>
    <w:rsid w:val="000C08B5"/>
    <w:rsid w:val="000C3BFB"/>
    <w:rsid w:val="000D6D52"/>
    <w:rsid w:val="000E2753"/>
    <w:rsid w:val="000E610D"/>
    <w:rsid w:val="001054FD"/>
    <w:rsid w:val="00105D82"/>
    <w:rsid w:val="001129E2"/>
    <w:rsid w:val="00114753"/>
    <w:rsid w:val="0012135D"/>
    <w:rsid w:val="00124503"/>
    <w:rsid w:val="00130577"/>
    <w:rsid w:val="001340C2"/>
    <w:rsid w:val="001345B0"/>
    <w:rsid w:val="00150263"/>
    <w:rsid w:val="0015345D"/>
    <w:rsid w:val="00153F30"/>
    <w:rsid w:val="00164ABE"/>
    <w:rsid w:val="0016726D"/>
    <w:rsid w:val="00171140"/>
    <w:rsid w:val="001733FA"/>
    <w:rsid w:val="00197E7D"/>
    <w:rsid w:val="001A2D6B"/>
    <w:rsid w:val="001B29B3"/>
    <w:rsid w:val="001B3A8E"/>
    <w:rsid w:val="001D3B58"/>
    <w:rsid w:val="001D5810"/>
    <w:rsid w:val="001D7E07"/>
    <w:rsid w:val="002167FC"/>
    <w:rsid w:val="00217DE3"/>
    <w:rsid w:val="00232C7C"/>
    <w:rsid w:val="00236778"/>
    <w:rsid w:val="00240D41"/>
    <w:rsid w:val="00244F08"/>
    <w:rsid w:val="00245DAD"/>
    <w:rsid w:val="00256BB2"/>
    <w:rsid w:val="002664F5"/>
    <w:rsid w:val="00271BFD"/>
    <w:rsid w:val="00277304"/>
    <w:rsid w:val="0029214A"/>
    <w:rsid w:val="00297EE4"/>
    <w:rsid w:val="002A0899"/>
    <w:rsid w:val="002B2DE5"/>
    <w:rsid w:val="002B3B8D"/>
    <w:rsid w:val="002B4124"/>
    <w:rsid w:val="002C1AC6"/>
    <w:rsid w:val="002C4DE2"/>
    <w:rsid w:val="002D0BD2"/>
    <w:rsid w:val="002D4740"/>
    <w:rsid w:val="002F1D8A"/>
    <w:rsid w:val="002F6A33"/>
    <w:rsid w:val="00300E1B"/>
    <w:rsid w:val="00321CB9"/>
    <w:rsid w:val="00327DF7"/>
    <w:rsid w:val="00333CE3"/>
    <w:rsid w:val="003607BD"/>
    <w:rsid w:val="00360B6C"/>
    <w:rsid w:val="003610C4"/>
    <w:rsid w:val="00370B12"/>
    <w:rsid w:val="00380D4B"/>
    <w:rsid w:val="00380F77"/>
    <w:rsid w:val="00393DEA"/>
    <w:rsid w:val="00395267"/>
    <w:rsid w:val="003A0AAC"/>
    <w:rsid w:val="003B3B0D"/>
    <w:rsid w:val="003B4077"/>
    <w:rsid w:val="003D0E38"/>
    <w:rsid w:val="003D27C9"/>
    <w:rsid w:val="00404F0F"/>
    <w:rsid w:val="00405E6B"/>
    <w:rsid w:val="004322B2"/>
    <w:rsid w:val="00440816"/>
    <w:rsid w:val="00455C57"/>
    <w:rsid w:val="004628AC"/>
    <w:rsid w:val="00467579"/>
    <w:rsid w:val="00471E07"/>
    <w:rsid w:val="00475573"/>
    <w:rsid w:val="00475922"/>
    <w:rsid w:val="00481C20"/>
    <w:rsid w:val="00483634"/>
    <w:rsid w:val="00487364"/>
    <w:rsid w:val="0049107F"/>
    <w:rsid w:val="00494022"/>
    <w:rsid w:val="004A1830"/>
    <w:rsid w:val="004B379A"/>
    <w:rsid w:val="004B43EE"/>
    <w:rsid w:val="004C7BA6"/>
    <w:rsid w:val="004D1DF2"/>
    <w:rsid w:val="004D4145"/>
    <w:rsid w:val="004E10B1"/>
    <w:rsid w:val="004E4172"/>
    <w:rsid w:val="004E6714"/>
    <w:rsid w:val="004F4E0A"/>
    <w:rsid w:val="0050403F"/>
    <w:rsid w:val="0050513B"/>
    <w:rsid w:val="005134F4"/>
    <w:rsid w:val="00520FAE"/>
    <w:rsid w:val="0052418D"/>
    <w:rsid w:val="0053588D"/>
    <w:rsid w:val="0053796C"/>
    <w:rsid w:val="005552D7"/>
    <w:rsid w:val="005617C9"/>
    <w:rsid w:val="00565628"/>
    <w:rsid w:val="00591380"/>
    <w:rsid w:val="005A047A"/>
    <w:rsid w:val="005A69D7"/>
    <w:rsid w:val="005B14B1"/>
    <w:rsid w:val="005C5A84"/>
    <w:rsid w:val="005C6053"/>
    <w:rsid w:val="005D1195"/>
    <w:rsid w:val="005D506B"/>
    <w:rsid w:val="005E3894"/>
    <w:rsid w:val="005E5437"/>
    <w:rsid w:val="005E6FA2"/>
    <w:rsid w:val="005F7E83"/>
    <w:rsid w:val="0060680C"/>
    <w:rsid w:val="00613BB3"/>
    <w:rsid w:val="00613C3C"/>
    <w:rsid w:val="00617996"/>
    <w:rsid w:val="00620381"/>
    <w:rsid w:val="00620801"/>
    <w:rsid w:val="006250B9"/>
    <w:rsid w:val="006573FB"/>
    <w:rsid w:val="00665DF9"/>
    <w:rsid w:val="00674C67"/>
    <w:rsid w:val="006874C2"/>
    <w:rsid w:val="0069124C"/>
    <w:rsid w:val="006A187D"/>
    <w:rsid w:val="006A7AB1"/>
    <w:rsid w:val="006B5C95"/>
    <w:rsid w:val="006C001C"/>
    <w:rsid w:val="006C090C"/>
    <w:rsid w:val="006C3A6D"/>
    <w:rsid w:val="006C4B12"/>
    <w:rsid w:val="006E3A5E"/>
    <w:rsid w:val="006F0227"/>
    <w:rsid w:val="006F116B"/>
    <w:rsid w:val="00705846"/>
    <w:rsid w:val="00723C81"/>
    <w:rsid w:val="00733152"/>
    <w:rsid w:val="00733ADC"/>
    <w:rsid w:val="007352D2"/>
    <w:rsid w:val="0073624E"/>
    <w:rsid w:val="00744F95"/>
    <w:rsid w:val="00754578"/>
    <w:rsid w:val="00756352"/>
    <w:rsid w:val="00775362"/>
    <w:rsid w:val="00776F2D"/>
    <w:rsid w:val="00782FB8"/>
    <w:rsid w:val="00784078"/>
    <w:rsid w:val="00790E62"/>
    <w:rsid w:val="00797AB0"/>
    <w:rsid w:val="007A3E27"/>
    <w:rsid w:val="007B7299"/>
    <w:rsid w:val="007C20BC"/>
    <w:rsid w:val="007C64B7"/>
    <w:rsid w:val="007F580F"/>
    <w:rsid w:val="008009DC"/>
    <w:rsid w:val="00814FAD"/>
    <w:rsid w:val="0082142F"/>
    <w:rsid w:val="008227EC"/>
    <w:rsid w:val="00825868"/>
    <w:rsid w:val="0082780D"/>
    <w:rsid w:val="00827AE4"/>
    <w:rsid w:val="00830CEB"/>
    <w:rsid w:val="00840F0C"/>
    <w:rsid w:val="00843E33"/>
    <w:rsid w:val="00845155"/>
    <w:rsid w:val="00850408"/>
    <w:rsid w:val="00863B69"/>
    <w:rsid w:val="00865349"/>
    <w:rsid w:val="008722C7"/>
    <w:rsid w:val="0087233D"/>
    <w:rsid w:val="008805E5"/>
    <w:rsid w:val="00884D61"/>
    <w:rsid w:val="00886519"/>
    <w:rsid w:val="008B3FA5"/>
    <w:rsid w:val="008B5689"/>
    <w:rsid w:val="008C3FCC"/>
    <w:rsid w:val="008D0B17"/>
    <w:rsid w:val="00911DBA"/>
    <w:rsid w:val="00917EA1"/>
    <w:rsid w:val="009251AC"/>
    <w:rsid w:val="0093141A"/>
    <w:rsid w:val="00951433"/>
    <w:rsid w:val="00955224"/>
    <w:rsid w:val="00955B82"/>
    <w:rsid w:val="00961139"/>
    <w:rsid w:val="00976E2F"/>
    <w:rsid w:val="00990633"/>
    <w:rsid w:val="0099281F"/>
    <w:rsid w:val="009C0A8C"/>
    <w:rsid w:val="009C2559"/>
    <w:rsid w:val="009C4FEB"/>
    <w:rsid w:val="009C7C01"/>
    <w:rsid w:val="009D1F40"/>
    <w:rsid w:val="009E3616"/>
    <w:rsid w:val="009F191F"/>
    <w:rsid w:val="009F2232"/>
    <w:rsid w:val="00A038AD"/>
    <w:rsid w:val="00A2127D"/>
    <w:rsid w:val="00A21AE9"/>
    <w:rsid w:val="00A25995"/>
    <w:rsid w:val="00A2600F"/>
    <w:rsid w:val="00A5684A"/>
    <w:rsid w:val="00A619B1"/>
    <w:rsid w:val="00A73785"/>
    <w:rsid w:val="00A73BC1"/>
    <w:rsid w:val="00A8111F"/>
    <w:rsid w:val="00A818BA"/>
    <w:rsid w:val="00A83CCD"/>
    <w:rsid w:val="00A97FE1"/>
    <w:rsid w:val="00AB0F22"/>
    <w:rsid w:val="00AB1781"/>
    <w:rsid w:val="00AC4ACB"/>
    <w:rsid w:val="00AE375C"/>
    <w:rsid w:val="00AF2B7E"/>
    <w:rsid w:val="00AF397D"/>
    <w:rsid w:val="00B353D8"/>
    <w:rsid w:val="00B44DFA"/>
    <w:rsid w:val="00B55B48"/>
    <w:rsid w:val="00B56559"/>
    <w:rsid w:val="00B9065A"/>
    <w:rsid w:val="00B9248A"/>
    <w:rsid w:val="00BA1970"/>
    <w:rsid w:val="00BA5008"/>
    <w:rsid w:val="00BD6273"/>
    <w:rsid w:val="00BD758C"/>
    <w:rsid w:val="00BE06CA"/>
    <w:rsid w:val="00BF197E"/>
    <w:rsid w:val="00BF2F63"/>
    <w:rsid w:val="00BF6D3A"/>
    <w:rsid w:val="00BF73AB"/>
    <w:rsid w:val="00C0216D"/>
    <w:rsid w:val="00C03AE9"/>
    <w:rsid w:val="00C214C7"/>
    <w:rsid w:val="00C260E2"/>
    <w:rsid w:val="00C36C69"/>
    <w:rsid w:val="00C56052"/>
    <w:rsid w:val="00C6652E"/>
    <w:rsid w:val="00C67019"/>
    <w:rsid w:val="00C7314D"/>
    <w:rsid w:val="00C73E37"/>
    <w:rsid w:val="00C75921"/>
    <w:rsid w:val="00C84439"/>
    <w:rsid w:val="00C84EBB"/>
    <w:rsid w:val="00CA5D44"/>
    <w:rsid w:val="00CB63BE"/>
    <w:rsid w:val="00CD6246"/>
    <w:rsid w:val="00CF4B05"/>
    <w:rsid w:val="00CF766B"/>
    <w:rsid w:val="00CF7EB6"/>
    <w:rsid w:val="00D005EC"/>
    <w:rsid w:val="00D06534"/>
    <w:rsid w:val="00D13D40"/>
    <w:rsid w:val="00D27859"/>
    <w:rsid w:val="00D27A72"/>
    <w:rsid w:val="00D27EE7"/>
    <w:rsid w:val="00D34952"/>
    <w:rsid w:val="00D45CC2"/>
    <w:rsid w:val="00D463DC"/>
    <w:rsid w:val="00D640AB"/>
    <w:rsid w:val="00D66A0B"/>
    <w:rsid w:val="00D67996"/>
    <w:rsid w:val="00D7038E"/>
    <w:rsid w:val="00D733E9"/>
    <w:rsid w:val="00D739F8"/>
    <w:rsid w:val="00D73D8A"/>
    <w:rsid w:val="00D7508C"/>
    <w:rsid w:val="00D80F05"/>
    <w:rsid w:val="00D81A8E"/>
    <w:rsid w:val="00D87D9D"/>
    <w:rsid w:val="00D90198"/>
    <w:rsid w:val="00D906DA"/>
    <w:rsid w:val="00D92A2A"/>
    <w:rsid w:val="00D93CAE"/>
    <w:rsid w:val="00DA0A6C"/>
    <w:rsid w:val="00DA1C16"/>
    <w:rsid w:val="00DB76CD"/>
    <w:rsid w:val="00DC250C"/>
    <w:rsid w:val="00DD6508"/>
    <w:rsid w:val="00DE46B8"/>
    <w:rsid w:val="00E01635"/>
    <w:rsid w:val="00E126F9"/>
    <w:rsid w:val="00E22ABD"/>
    <w:rsid w:val="00E22CC6"/>
    <w:rsid w:val="00E328D7"/>
    <w:rsid w:val="00E346FB"/>
    <w:rsid w:val="00E374F2"/>
    <w:rsid w:val="00E418FF"/>
    <w:rsid w:val="00E46EAB"/>
    <w:rsid w:val="00E504A9"/>
    <w:rsid w:val="00E6079E"/>
    <w:rsid w:val="00E6335F"/>
    <w:rsid w:val="00E66AFB"/>
    <w:rsid w:val="00E71559"/>
    <w:rsid w:val="00E80170"/>
    <w:rsid w:val="00E85F1C"/>
    <w:rsid w:val="00E92362"/>
    <w:rsid w:val="00E964B8"/>
    <w:rsid w:val="00EA4BF9"/>
    <w:rsid w:val="00EB0388"/>
    <w:rsid w:val="00EC4209"/>
    <w:rsid w:val="00ED4370"/>
    <w:rsid w:val="00EE6C9A"/>
    <w:rsid w:val="00EE7152"/>
    <w:rsid w:val="00EF24D2"/>
    <w:rsid w:val="00EF5190"/>
    <w:rsid w:val="00EF7E12"/>
    <w:rsid w:val="00F022A1"/>
    <w:rsid w:val="00F06147"/>
    <w:rsid w:val="00F07504"/>
    <w:rsid w:val="00F13A6C"/>
    <w:rsid w:val="00F241FE"/>
    <w:rsid w:val="00F310D0"/>
    <w:rsid w:val="00F44C6C"/>
    <w:rsid w:val="00F52B19"/>
    <w:rsid w:val="00F56AD0"/>
    <w:rsid w:val="00F612CB"/>
    <w:rsid w:val="00F62A50"/>
    <w:rsid w:val="00F670E0"/>
    <w:rsid w:val="00F701C8"/>
    <w:rsid w:val="00F740C7"/>
    <w:rsid w:val="00F81F7F"/>
    <w:rsid w:val="00F9438D"/>
    <w:rsid w:val="00FB31D2"/>
    <w:rsid w:val="00FB3925"/>
    <w:rsid w:val="00FC086F"/>
    <w:rsid w:val="00FC4412"/>
    <w:rsid w:val="00FC6490"/>
    <w:rsid w:val="00FC66F7"/>
    <w:rsid w:val="00FD03EF"/>
    <w:rsid w:val="00FD54BC"/>
    <w:rsid w:val="00FF362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8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8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ADF8-2E13-457F-8391-BA9F5B51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OVA!!!CLOUD.net a.s.</Company>
  <LinksUpToDate>false</LinksUpToDate>
  <CharactersWithSpaces>6835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mailto:kucova@ovacloud.net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5</cp:revision>
  <cp:lastPrinted>2013-10-25T09:38:00Z</cp:lastPrinted>
  <dcterms:created xsi:type="dcterms:W3CDTF">2015-10-21T11:19:00Z</dcterms:created>
  <dcterms:modified xsi:type="dcterms:W3CDTF">2015-10-21T11:52:00Z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