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4" w:rsidRDefault="00E92874" w:rsidP="00E92874">
      <w:pPr>
        <w:ind w:right="-14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Seznam subdodavatelů dodavatele veřejné zakázky</w:t>
      </w:r>
    </w:p>
    <w:p w:rsidR="00E92874" w:rsidRDefault="00E92874" w:rsidP="00E92874">
      <w:pPr>
        <w:rPr>
          <w:rFonts w:ascii="Arial" w:hAnsi="Arial" w:cs="Arial"/>
        </w:rPr>
      </w:pPr>
      <w:r>
        <w:rPr>
          <w:rFonts w:ascii="Arial" w:hAnsi="Arial" w:cs="Arial"/>
        </w:rPr>
        <w:t>(dle § 147a odst. 4 zákona č. 137/2006 Sb., o veřejných zakázkách, ve znění pozdějších předpisů)</w:t>
      </w:r>
    </w:p>
    <w:p w:rsidR="00E92874" w:rsidRDefault="00E92874" w:rsidP="00E92874">
      <w:pPr>
        <w:rPr>
          <w:rFonts w:ascii="Arial" w:hAnsi="Arial" w:cs="Arial"/>
        </w:rPr>
      </w:pPr>
    </w:p>
    <w:p w:rsidR="00E92874" w:rsidRPr="00E92874" w:rsidRDefault="00E92874" w:rsidP="00E92874">
      <w:pPr>
        <w:spacing w:after="120"/>
        <w:rPr>
          <w:rFonts w:ascii="Arial" w:hAnsi="Arial" w:cs="Arial"/>
          <w:b/>
        </w:rPr>
      </w:pPr>
      <w:r w:rsidRPr="00E92874">
        <w:rPr>
          <w:rFonts w:ascii="Arial" w:hAnsi="Arial" w:cs="Arial"/>
          <w:b/>
        </w:rPr>
        <w:t>Název veřejné zakázky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874" w:rsidTr="00E92874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Cyklostezky  - úsek Koblovský most, lávka na Kamenec</w:t>
            </w:r>
          </w:p>
        </w:tc>
      </w:tr>
    </w:tbl>
    <w:p w:rsidR="00E92874" w:rsidRDefault="00E92874" w:rsidP="00E92874">
      <w:pPr>
        <w:spacing w:after="120"/>
        <w:ind w:left="993" w:hanging="567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4961"/>
      </w:tblGrid>
      <w:tr w:rsidR="00E92874" w:rsidTr="00E92874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TEPLOTECHNA Ostrava a.s.</w:t>
            </w:r>
          </w:p>
        </w:tc>
      </w:tr>
      <w:tr w:rsidR="00E92874" w:rsidTr="00E9287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Šenovská 534/101, 710 00 Ostrava</w:t>
            </w:r>
          </w:p>
        </w:tc>
      </w:tr>
      <w:tr w:rsidR="00E92874" w:rsidTr="00E9287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9933E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45193771</w:t>
            </w:r>
          </w:p>
        </w:tc>
      </w:tr>
      <w:tr w:rsidR="00E92874" w:rsidTr="00E92874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E9287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vlastníků akcií:</w:t>
            </w:r>
          </w:p>
          <w:p w:rsidR="00E92874" w:rsidRDefault="00E92874" w:rsidP="00E9287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NEXIS TRADE, a.s.</w:t>
            </w:r>
          </w:p>
        </w:tc>
      </w:tr>
      <w:tr w:rsidR="00E92874" w:rsidTr="00E92874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BESTON, spol. s r.o.</w:t>
            </w:r>
          </w:p>
        </w:tc>
      </w:tr>
      <w:tr w:rsidR="00E92874" w:rsidTr="00E9287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Slezská č. 2766, Frýdek - Místek</w:t>
            </w:r>
          </w:p>
        </w:tc>
      </w:tr>
      <w:tr w:rsidR="00E92874" w:rsidTr="00E9287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9933EB">
              <w:rPr>
                <w:rFonts w:ascii="Arial" w:hAnsi="Arial" w:cs="Arial"/>
                <w:b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47667036</w:t>
            </w:r>
          </w:p>
        </w:tc>
      </w:tr>
      <w:tr w:rsidR="00E92874" w:rsidTr="00E92874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E92874" w:rsidP="00E928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Seznam vlastníků akcií:</w:t>
            </w:r>
          </w:p>
          <w:p w:rsidR="00E92874" w:rsidRDefault="00E92874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2874" w:rsidRDefault="00E9287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E92874" w:rsidRDefault="00E92874" w:rsidP="00E92874">
      <w:pPr>
        <w:spacing w:before="120" w:after="120"/>
        <w:rPr>
          <w:rFonts w:ascii="Arial" w:hAnsi="Arial" w:cs="Arial"/>
        </w:rPr>
      </w:pPr>
    </w:p>
    <w:p w:rsidR="00D54F9B" w:rsidRDefault="00D54F9B"/>
    <w:sectPr w:rsidR="00D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74F"/>
    <w:multiLevelType w:val="hybridMultilevel"/>
    <w:tmpl w:val="85C8D7A8"/>
    <w:lvl w:ilvl="0" w:tplc="E1D660A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4"/>
    <w:rsid w:val="009933EB"/>
    <w:rsid w:val="00D54F9B"/>
    <w:rsid w:val="00E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Růžičková Ivana</cp:lastModifiedBy>
  <cp:revision>2</cp:revision>
  <dcterms:created xsi:type="dcterms:W3CDTF">2015-02-19T06:51:00Z</dcterms:created>
  <dcterms:modified xsi:type="dcterms:W3CDTF">2015-02-19T06:57:00Z</dcterms:modified>
</cp:coreProperties>
</file>